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C6" w:rsidRDefault="00AA6CC6" w:rsidP="0094424E">
      <w:pPr>
        <w:rPr>
          <w:noProof w:val="0"/>
          <w:rtl/>
        </w:rPr>
      </w:pPr>
      <w:bookmarkStart w:id="0" w:name="_GoBack"/>
      <w:bookmarkEnd w:id="0"/>
      <w:r>
        <w:rPr>
          <w:noProof w:val="0"/>
          <w:rtl/>
        </w:rPr>
        <w:t xml:space="preserve"> </w:t>
      </w:r>
    </w:p>
    <w:tbl>
      <w:tblPr>
        <w:bidiVisual/>
        <w:tblW w:w="8820" w:type="dxa"/>
        <w:jc w:val="center"/>
        <w:tblLook w:val="01E0" w:firstRow="1" w:lastRow="1" w:firstColumn="1" w:lastColumn="1" w:noHBand="0" w:noVBand="0"/>
      </w:tblPr>
      <w:tblGrid>
        <w:gridCol w:w="743"/>
        <w:gridCol w:w="2506"/>
        <w:gridCol w:w="5571"/>
      </w:tblGrid>
      <w:tr w:rsidR="00AA6CC6">
        <w:trPr>
          <w:jc w:val="center"/>
        </w:trPr>
        <w:tc>
          <w:tcPr>
            <w:tcW w:w="743" w:type="dxa"/>
          </w:tcPr>
          <w:p w:rsidR="00AA6CC6" w:rsidRPr="002A0235" w:rsidRDefault="00AA6CC6" w:rsidP="002A0235">
            <w:pPr>
              <w:jc w:val="both"/>
              <w:rPr>
                <w:rFonts w:ascii="Arial" w:hAnsi="Arial"/>
                <w:b/>
                <w:bCs/>
                <w:noProof w:val="0"/>
              </w:rPr>
            </w:pPr>
            <w:r w:rsidRPr="002A0235">
              <w:rPr>
                <w:rFonts w:ascii="Arial" w:hAnsi="Arial"/>
                <w:b/>
                <w:bCs/>
                <w:noProof w:val="0"/>
                <w:rtl/>
              </w:rPr>
              <w:t xml:space="preserve">בפני </w:t>
            </w:r>
          </w:p>
        </w:tc>
        <w:tc>
          <w:tcPr>
            <w:tcW w:w="8077" w:type="dxa"/>
            <w:gridSpan w:val="2"/>
          </w:tcPr>
          <w:p w:rsidR="00AA6CC6" w:rsidRPr="002A0235" w:rsidRDefault="00AA6CC6">
            <w:pPr>
              <w:rPr>
                <w:rFonts w:ascii="Arial" w:hAnsi="Arial"/>
                <w:b/>
                <w:bCs/>
                <w:noProof w:val="0"/>
                <w:rtl/>
              </w:rPr>
            </w:pPr>
            <w:r w:rsidRPr="002A0235">
              <w:rPr>
                <w:rFonts w:ascii="Arial" w:hAnsi="Arial"/>
                <w:b/>
                <w:bCs/>
                <w:noProof w:val="0"/>
                <w:rtl/>
              </w:rPr>
              <w:t>כב' השופטת  נועה חקלאי</w:t>
            </w:r>
          </w:p>
          <w:p w:rsidR="00AA6CC6" w:rsidRPr="002A0235" w:rsidRDefault="00AA6CC6">
            <w:pPr>
              <w:rPr>
                <w:rFonts w:ascii="Arial" w:hAnsi="Arial" w:cs="FrankRuehl"/>
                <w:sz w:val="28"/>
                <w:szCs w:val="28"/>
                <w:highlight w:val="yellow"/>
              </w:rPr>
            </w:pPr>
          </w:p>
        </w:tc>
      </w:tr>
      <w:tr w:rsidR="00AA6CC6">
        <w:trPr>
          <w:jc w:val="center"/>
        </w:trPr>
        <w:tc>
          <w:tcPr>
            <w:tcW w:w="3249" w:type="dxa"/>
            <w:gridSpan w:val="2"/>
          </w:tcPr>
          <w:p w:rsidR="00AA6CC6" w:rsidRPr="002A0235" w:rsidRDefault="00AA6CC6" w:rsidP="00465D36">
            <w:pPr>
              <w:rPr>
                <w:rFonts w:ascii="Arial" w:hAnsi="Arial"/>
                <w:b/>
                <w:bCs/>
                <w:noProof w:val="0"/>
                <w:sz w:val="26"/>
                <w:szCs w:val="26"/>
              </w:rPr>
            </w:pPr>
          </w:p>
          <w:p w:rsidR="00AA6CC6" w:rsidRPr="002A0235" w:rsidRDefault="00AA6CC6">
            <w:pPr>
              <w:rPr>
                <w:rFonts w:ascii="Arial" w:hAnsi="Arial"/>
                <w:b/>
                <w:bCs/>
                <w:noProof w:val="0"/>
                <w:sz w:val="26"/>
                <w:szCs w:val="26"/>
              </w:rPr>
            </w:pPr>
            <w:r w:rsidRPr="002A0235">
              <w:rPr>
                <w:rFonts w:ascii="Arial" w:hAnsi="Arial"/>
                <w:b/>
                <w:bCs/>
                <w:noProof w:val="0"/>
                <w:sz w:val="26"/>
                <w:szCs w:val="26"/>
                <w:rtl/>
              </w:rPr>
              <w:t>מאשימה</w:t>
            </w:r>
          </w:p>
        </w:tc>
        <w:tc>
          <w:tcPr>
            <w:tcW w:w="5571" w:type="dxa"/>
          </w:tcPr>
          <w:p w:rsidR="00AA6CC6" w:rsidRPr="002A0235" w:rsidRDefault="00AA6CC6">
            <w:pPr>
              <w:rPr>
                <w:rFonts w:ascii="Arial" w:hAnsi="Arial"/>
                <w:b/>
                <w:bCs/>
                <w:noProof w:val="0"/>
                <w:sz w:val="26"/>
                <w:szCs w:val="26"/>
                <w:rtl/>
              </w:rPr>
            </w:pPr>
          </w:p>
          <w:p w:rsidR="00AA6CC6" w:rsidRPr="002A0235" w:rsidRDefault="00AA6CC6">
            <w:pPr>
              <w:rPr>
                <w:b/>
                <w:bCs/>
                <w:noProof w:val="0"/>
                <w:sz w:val="26"/>
                <w:szCs w:val="26"/>
              </w:rPr>
            </w:pPr>
            <w:r w:rsidRPr="002A0235">
              <w:rPr>
                <w:rFonts w:ascii="Arial" w:hAnsi="Arial"/>
                <w:b/>
                <w:bCs/>
                <w:noProof w:val="0"/>
                <w:sz w:val="26"/>
                <w:szCs w:val="26"/>
                <w:rtl/>
              </w:rPr>
              <w:t>מדינת ישראל</w:t>
            </w:r>
          </w:p>
        </w:tc>
      </w:tr>
      <w:tr w:rsidR="00AA6CC6">
        <w:trPr>
          <w:jc w:val="center"/>
        </w:trPr>
        <w:tc>
          <w:tcPr>
            <w:tcW w:w="8820" w:type="dxa"/>
            <w:gridSpan w:val="3"/>
          </w:tcPr>
          <w:p w:rsidR="00AA6CC6" w:rsidRPr="002A0235" w:rsidRDefault="00AA6CC6">
            <w:pPr>
              <w:rPr>
                <w:rFonts w:ascii="Arial" w:hAnsi="Arial"/>
                <w:b/>
                <w:bCs/>
                <w:noProof w:val="0"/>
                <w:sz w:val="26"/>
                <w:szCs w:val="26"/>
                <w:rtl/>
              </w:rPr>
            </w:pPr>
          </w:p>
          <w:p w:rsidR="00AA6CC6" w:rsidRPr="002A0235" w:rsidRDefault="00AA6CC6" w:rsidP="002A0235">
            <w:pPr>
              <w:jc w:val="center"/>
              <w:rPr>
                <w:rFonts w:ascii="Arial" w:hAnsi="Arial"/>
                <w:b/>
                <w:bCs/>
                <w:noProof w:val="0"/>
                <w:sz w:val="26"/>
                <w:szCs w:val="26"/>
                <w:rtl/>
              </w:rPr>
            </w:pPr>
            <w:r w:rsidRPr="002A0235">
              <w:rPr>
                <w:rFonts w:ascii="Arial" w:hAnsi="Arial"/>
                <w:b/>
                <w:bCs/>
                <w:noProof w:val="0"/>
                <w:sz w:val="26"/>
                <w:szCs w:val="26"/>
                <w:rtl/>
              </w:rPr>
              <w:t>נגד</w:t>
            </w:r>
          </w:p>
          <w:p w:rsidR="00AA6CC6" w:rsidRPr="002A0235" w:rsidRDefault="00AA6CC6">
            <w:pPr>
              <w:rPr>
                <w:rFonts w:ascii="Arial" w:hAnsi="Arial"/>
                <w:b/>
                <w:bCs/>
                <w:noProof w:val="0"/>
                <w:sz w:val="26"/>
                <w:szCs w:val="26"/>
              </w:rPr>
            </w:pPr>
          </w:p>
        </w:tc>
      </w:tr>
      <w:tr w:rsidR="00AA6CC6">
        <w:trPr>
          <w:jc w:val="center"/>
        </w:trPr>
        <w:tc>
          <w:tcPr>
            <w:tcW w:w="3249" w:type="dxa"/>
            <w:gridSpan w:val="2"/>
          </w:tcPr>
          <w:p w:rsidR="00AA6CC6" w:rsidRPr="002A0235" w:rsidRDefault="00AA6CC6">
            <w:pPr>
              <w:rPr>
                <w:rFonts w:ascii="Arial" w:hAnsi="Arial"/>
                <w:b/>
                <w:bCs/>
                <w:noProof w:val="0"/>
                <w:sz w:val="26"/>
                <w:szCs w:val="26"/>
                <w:rtl/>
              </w:rPr>
            </w:pPr>
          </w:p>
          <w:p w:rsidR="00AA6CC6" w:rsidRPr="002A0235" w:rsidRDefault="00AA6CC6">
            <w:pPr>
              <w:rPr>
                <w:rFonts w:ascii="Arial" w:hAnsi="Arial"/>
                <w:b/>
                <w:bCs/>
                <w:noProof w:val="0"/>
                <w:sz w:val="26"/>
                <w:szCs w:val="26"/>
              </w:rPr>
            </w:pPr>
            <w:r w:rsidRPr="002A0235">
              <w:rPr>
                <w:rFonts w:ascii="Arial" w:hAnsi="Arial"/>
                <w:b/>
                <w:bCs/>
                <w:noProof w:val="0"/>
                <w:sz w:val="26"/>
                <w:szCs w:val="26"/>
                <w:rtl/>
              </w:rPr>
              <w:t>נאשמים</w:t>
            </w:r>
          </w:p>
        </w:tc>
        <w:tc>
          <w:tcPr>
            <w:tcW w:w="5571" w:type="dxa"/>
          </w:tcPr>
          <w:p w:rsidR="00AA6CC6" w:rsidRPr="002A0235" w:rsidRDefault="00AA6CC6">
            <w:pPr>
              <w:rPr>
                <w:rFonts w:ascii="Arial" w:hAnsi="Arial"/>
                <w:b/>
                <w:bCs/>
                <w:noProof w:val="0"/>
                <w:sz w:val="26"/>
                <w:szCs w:val="26"/>
                <w:rtl/>
              </w:rPr>
            </w:pPr>
          </w:p>
          <w:p w:rsidR="00AA6CC6" w:rsidRPr="002A0235" w:rsidRDefault="00AA6CC6">
            <w:pPr>
              <w:rPr>
                <w:b/>
                <w:bCs/>
                <w:noProof w:val="0"/>
                <w:sz w:val="26"/>
                <w:szCs w:val="26"/>
              </w:rPr>
            </w:pPr>
            <w:r w:rsidRPr="002A0235">
              <w:rPr>
                <w:rFonts w:ascii="Arial" w:hAnsi="Arial"/>
                <w:b/>
                <w:bCs/>
                <w:noProof w:val="0"/>
                <w:sz w:val="26"/>
                <w:szCs w:val="26"/>
                <w:rtl/>
              </w:rPr>
              <w:t>סיגלית מיכל אולשקר</w:t>
            </w:r>
          </w:p>
        </w:tc>
      </w:tr>
    </w:tbl>
    <w:p w:rsidR="00AA6CC6" w:rsidRDefault="00AA6CC6" w:rsidP="0094424E">
      <w:pPr>
        <w:rPr>
          <w:noProof w:val="0"/>
          <w:rtl/>
        </w:rPr>
      </w:pPr>
      <w:r>
        <w:rPr>
          <w:noProof w:val="0"/>
          <w:rtl/>
        </w:rPr>
        <w:tab/>
      </w:r>
      <w:r>
        <w:rPr>
          <w:noProof w:val="0"/>
          <w:rtl/>
        </w:rPr>
        <w:tab/>
      </w:r>
      <w:r>
        <w:rPr>
          <w:noProof w:val="0"/>
          <w:rtl/>
        </w:rPr>
        <w:tab/>
      </w:r>
      <w:r>
        <w:rPr>
          <w:noProof w:val="0"/>
          <w:rtl/>
        </w:rPr>
        <w:tab/>
        <w:t xml:space="preserve">      ע"י ב"כ עו"ד דוד קולקר</w:t>
      </w:r>
    </w:p>
    <w:p w:rsidR="00AA6CC6" w:rsidRDefault="00AA6CC6" w:rsidP="006D3B31">
      <w:pPr>
        <w:suppressLineNumbers/>
      </w:pPr>
    </w:p>
    <w:tbl>
      <w:tblPr>
        <w:bidiVisual/>
        <w:tblW w:w="8820" w:type="dxa"/>
        <w:jc w:val="center"/>
        <w:tblLook w:val="01E0" w:firstRow="1" w:lastRow="1" w:firstColumn="1" w:lastColumn="1" w:noHBand="0" w:noVBand="0"/>
      </w:tblPr>
      <w:tblGrid>
        <w:gridCol w:w="8820"/>
      </w:tblGrid>
      <w:tr w:rsidR="00AA6CC6">
        <w:trPr>
          <w:jc w:val="center"/>
        </w:trPr>
        <w:tc>
          <w:tcPr>
            <w:tcW w:w="8820" w:type="dxa"/>
          </w:tcPr>
          <w:p w:rsidR="00AA6CC6" w:rsidRPr="002A0235" w:rsidRDefault="00AA6CC6" w:rsidP="002A0235">
            <w:pPr>
              <w:bidi w:val="0"/>
              <w:jc w:val="center"/>
              <w:rPr>
                <w:rFonts w:ascii="Arial" w:hAnsi="Arial"/>
                <w:b/>
                <w:bCs/>
                <w:noProof w:val="0"/>
                <w:sz w:val="28"/>
                <w:szCs w:val="28"/>
                <w:u w:val="single"/>
              </w:rPr>
            </w:pPr>
            <w:r w:rsidRPr="002A0235">
              <w:rPr>
                <w:rFonts w:ascii="Arial" w:hAnsi="Arial"/>
                <w:b/>
                <w:bCs/>
                <w:noProof w:val="0"/>
                <w:sz w:val="28"/>
                <w:szCs w:val="28"/>
                <w:u w:val="single"/>
                <w:rtl/>
              </w:rPr>
              <w:t>החלטה</w:t>
            </w:r>
          </w:p>
        </w:tc>
      </w:tr>
    </w:tbl>
    <w:p w:rsidR="00AA6CC6" w:rsidRDefault="00AA6CC6">
      <w:pPr>
        <w:spacing w:line="360" w:lineRule="auto"/>
        <w:jc w:val="both"/>
        <w:rPr>
          <w:rFonts w:ascii="Arial" w:hAnsi="Arial"/>
          <w:noProof w:val="0"/>
          <w:rtl/>
        </w:rPr>
      </w:pPr>
    </w:p>
    <w:p w:rsidR="00AA6CC6" w:rsidRDefault="00AA6CC6" w:rsidP="002623CC">
      <w:pPr>
        <w:spacing w:line="300" w:lineRule="exact"/>
        <w:jc w:val="both"/>
      </w:pPr>
      <w:bookmarkStart w:id="1" w:name="NGCSBookmark"/>
      <w:bookmarkEnd w:id="1"/>
    </w:p>
    <w:p w:rsidR="00AA6CC6" w:rsidRDefault="00AA6CC6" w:rsidP="002623CC">
      <w:pPr>
        <w:spacing w:line="300" w:lineRule="exact"/>
        <w:jc w:val="both"/>
        <w:rPr>
          <w:rFonts w:ascii="Arial" w:hAnsi="Arial"/>
          <w:noProof w:val="0"/>
        </w:rPr>
      </w:pPr>
    </w:p>
    <w:p w:rsidR="00AA6CC6" w:rsidRDefault="00AA6CC6" w:rsidP="002623CC">
      <w:pPr>
        <w:spacing w:line="300" w:lineRule="exact"/>
        <w:jc w:val="both"/>
        <w:rPr>
          <w:noProof w:val="0"/>
          <w:rtl/>
        </w:rPr>
      </w:pPr>
      <w:r>
        <w:rPr>
          <w:noProof w:val="0"/>
          <w:rtl/>
        </w:rPr>
        <w:t>ביום 22.3.15 התקיים בפני דיון בתיק שבנדון.</w:t>
      </w:r>
    </w:p>
    <w:p w:rsidR="00AA6CC6" w:rsidRDefault="00AA6CC6" w:rsidP="002623CC">
      <w:pPr>
        <w:spacing w:line="300" w:lineRule="exact"/>
        <w:jc w:val="both"/>
        <w:rPr>
          <w:rFonts w:cs="Arial"/>
          <w:noProof w:val="0"/>
          <w:sz w:val="22"/>
          <w:szCs w:val="22"/>
          <w:rtl/>
        </w:rPr>
      </w:pPr>
    </w:p>
    <w:p w:rsidR="00AA6CC6" w:rsidRDefault="00AA6CC6" w:rsidP="002623CC">
      <w:pPr>
        <w:spacing w:line="300" w:lineRule="exact"/>
        <w:jc w:val="both"/>
      </w:pPr>
      <w:r>
        <w:rPr>
          <w:noProof w:val="0"/>
          <w:rtl/>
        </w:rPr>
        <w:t>בתחילת הדיון הודיע ב"כ הנאשמת כי הנאשמת כופרת במיוחס לה.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רק לאחר שנרשמה הכפירה, קיבל ב"כ הנאשמת העתק מכתב האישום אשר הוגש לבית המשפט. בעותק של כתב האישום אשר הוגש לבית המשפט נוסף סמליל של עלה תלתן, סמליל אשר לא נמצא בהעתק כתב האישום אשר נמסר לנאשמת ודבר התיקון לא הודע לנאשמת עד כה.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ב"כ הנאשמת טען לפסול חמור בכתב האישום. </w:t>
      </w:r>
    </w:p>
    <w:p w:rsidR="00AA6CC6" w:rsidRDefault="00AA6CC6" w:rsidP="002623CC">
      <w:pPr>
        <w:spacing w:line="300" w:lineRule="exact"/>
        <w:jc w:val="both"/>
        <w:rPr>
          <w:noProof w:val="0"/>
          <w:rtl/>
        </w:rPr>
      </w:pPr>
      <w:r>
        <w:rPr>
          <w:noProof w:val="0"/>
          <w:rtl/>
        </w:rPr>
        <w:t xml:space="preserve">לדבריו החוק אינו מכיר בביטוי "תיק תלתן". </w:t>
      </w:r>
    </w:p>
    <w:p w:rsidR="00AA6CC6" w:rsidRDefault="00AA6CC6" w:rsidP="002623CC">
      <w:pPr>
        <w:spacing w:line="300" w:lineRule="exact"/>
        <w:jc w:val="both"/>
        <w:rPr>
          <w:noProof w:val="0"/>
          <w:rtl/>
        </w:rPr>
      </w:pPr>
      <w:r>
        <w:rPr>
          <w:noProof w:val="0"/>
          <w:rtl/>
        </w:rPr>
        <w:t>לדבריו באמצעות סימון "תיק תלתן" התביעה "עוקפת" את החוק ומוסרת לבית המשפט מידע על עברה של הנאשמת.</w:t>
      </w:r>
    </w:p>
    <w:p w:rsidR="00AA6CC6" w:rsidRDefault="00AA6CC6" w:rsidP="002623CC">
      <w:pPr>
        <w:spacing w:line="300" w:lineRule="exact"/>
        <w:jc w:val="both"/>
        <w:rPr>
          <w:noProof w:val="0"/>
          <w:rtl/>
        </w:rPr>
      </w:pPr>
      <w:r>
        <w:rPr>
          <w:noProof w:val="0"/>
          <w:rtl/>
        </w:rPr>
        <w:t>לדבריו הוספת סמליל התלתן לכתב האישום נוגד את סעיף 85 לחסד"פ אשר קובע מה יכיל כתב אישום. סימון "תיק תלתן" אינו נכלל שם.</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לאור האמור, ביקש ב"כ הנאשמת כי אורה  על מחיקת סמליל  עלה התלתן מכתב האישום כן ציין ב"כ הנאשמת כי לטעמו,  יש להורות על פסלותו של שופט אשר נחשף לסימון זה.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לשאלת בית המשפט התנגדה ב"כ המאשימה למחוק את סמליל התלתן מכתב האישום. </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ב"כ המאשימה ביקשה ארכה ליתן לבית המשפט תגובה מסודרת בכתב.</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ביום 23.3.15 ניתנה תגובתה הראשונה של המאשימה שעיקרה: </w:t>
      </w:r>
    </w:p>
    <w:p w:rsidR="00AA6CC6" w:rsidRDefault="00AA6CC6" w:rsidP="002623CC">
      <w:pPr>
        <w:spacing w:line="300" w:lineRule="exact"/>
        <w:jc w:val="both"/>
        <w:rPr>
          <w:noProof w:val="0"/>
          <w:rtl/>
        </w:rPr>
      </w:pPr>
      <w:r>
        <w:rPr>
          <w:noProof w:val="0"/>
          <w:rtl/>
        </w:rPr>
        <w:lastRenderedPageBreak/>
        <w:t>"חומרת העבירות נלמדת על פי טיבן ואין בסימון כזה או אחר כדי ללמד על עברו התעבורתי של הנאשם, או הפלילי או וותק הנהיגה".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על פי התגובה: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"הנחת היסוד היא שבעבירות המסווגות על ידי התביעה כעבירות תלת"ן חומרת העבירות ברורה מאליה, מעצם מהות העבירות ולכן יש אינטרס ציבורי שעבירות מסוג זה תתבררנה בהליך מזורז."</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ביום 26.3.15, בטרם מתן החלטה סופית בבקשת ב"כ הנאשמת, ביקשתי מהמאשימה לקבל הבהרות: האם העתק כתב האישום המתוקן לאחר הוספת הסמליל של עלה התלתן נשלח אל הנאשמת, מהי משמעות הסמליל והאם משמעות זו הוסברה לנאשמת, ומהי רשימת העבירות אשר אותן מסמנת המאשימה בסמליל עלה התלתן. </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ביקשתי כי התגובה תינתן על ידי אגף התנועה עד ליום 15.4.15. לבקשת המאשימה הארכתי את מועד מתן התגובה עד ליום 29.4.15.</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ביום 29.4.15, ניתנה תגובת המאשימה באמצעות סנ"צ סיגל כהן אברמוביץ, רמ"ד תביעות את"ן.</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לדבריה ביום 1.11.11 יצאה לדרך רפורמה, בהשתתפות נציגי משרד המשפטים, הנהלת בתי המשפט, פרקליטות המדינה, משרד התחבורה, המשרד לבטחון פנים ומשטרת ישראל.</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במסגרת הרפורמה הוחלט למקד האכיפה בעבירות אשר הוגדרו כמסכנות חיים, אשר לגביהן גובש מתווה של החתמת הדוח בסמליל עלה תלתן וניתובו להליך שיפוט מזורז תוך 30 יום. לדבריה  עיקרי הרפורמה פורסמו בכלי התקשורת ורשימת עבירות התלת"ן העדכנית נשלחה אל מנהל בתי המשפט. </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העתק מרשימה זו צורף לתגובה שנמסרה לבית המשפט בתיק זה.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באשר לנאשמת נשוא תיק זה, טענה רמ"ד תביעות את"ן כי יוחסה  עבירה של שכרות מכח סירוב לבדיקת שכרות, עבירה שנכללה לדבריה במסגרת עבירות התלת"ן, וכי בטופסי השימוע אשר נערכו לנאשמת צויין מפורשות כי המדובר בתיק תלת"ן וכי הנאשמת קיבלה את הטפסים בו במקום.  </w:t>
      </w:r>
    </w:p>
    <w:p w:rsidR="00AA6CC6" w:rsidRDefault="00AA6CC6" w:rsidP="002623CC">
      <w:pPr>
        <w:spacing w:line="300" w:lineRule="exact"/>
        <w:jc w:val="both"/>
        <w:rPr>
          <w:noProof w:val="0"/>
          <w:rtl/>
        </w:rPr>
      </w:pPr>
      <w:r>
        <w:rPr>
          <w:noProof w:val="0"/>
          <w:rtl/>
        </w:rPr>
        <w:t>עוד טענה כי לא קיימת הוראה המטילה על המאשימה ליתן הסבר לנאשמת באשר לתוכן כתב האישום לרבות ביחס לסימנים המופיעים בכתב האישום.</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קראתי בעיון את שתי תגובותיה של המאשימה.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lastRenderedPageBreak/>
        <w:t>הגם שבית המשפט אינו מתערב במדיניות האכיפה הנעשית על ידי המאשימה, נראה כי בתיק שבפני נפלו ליקויים, אשר לטעמי יש בהם משום פגיעה בזכויות הנאשמת.</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במה דברים אמורים:</w:t>
      </w:r>
    </w:p>
    <w:p w:rsidR="00AA6CC6" w:rsidRDefault="00AA6CC6" w:rsidP="002623CC">
      <w:pPr>
        <w:spacing w:line="300" w:lineRule="exact"/>
        <w:jc w:val="both"/>
        <w:rPr>
          <w:noProof w:val="0"/>
          <w:rtl/>
        </w:rPr>
      </w:pP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b/>
          <w:bCs/>
          <w:noProof w:val="0"/>
          <w:u w:val="single"/>
          <w:rtl/>
        </w:rPr>
      </w:pPr>
      <w:r>
        <w:rPr>
          <w:b/>
          <w:bCs/>
          <w:noProof w:val="0"/>
          <w:u w:val="single"/>
          <w:rtl/>
        </w:rPr>
        <w:t>הגשת כתב אישום מתוקן לבית המשפט מבלי ליידע את הנאשמת:</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כתב האישום המתוקן בתיק זה, הוגש לבית המשפט באופן לקוי.</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סעיף 91 לחסד"פ [נוסח משולב] התשמ"ב 1982, מתיר לתובע בכל עת עד תחילת המשפט לתקן את כתב האישום,  להוסיף עליו ולגרוע ממנו, במסירת הודעה לבית המשפט המפרטת את השינוי, ובית המשפט ימציא העתק מן ההודעה לנאשם.</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בתיק זה כתב האישום הראשוני אשר הוגש לבית המשפט כלל את סימון התלתן. לבית המשפט לא נמסרה הודעה כי בוצע שינוי בכתב האישום.</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הנאשמת בתיק זה אף לא היתה מודעת לעובדה כי לבית המשפט הוגש כתב אישום השונה מזה אשר נמסר לה, שכן לנאשמת נמסר כתב אישום אשר אינו כולל את סמליל התלתן.</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התייחסותה של רמ"ד את"ן לכך שבטופס השימוע אשר נמסר לנאשמת, נרשם מפורשות כי התיק הינו תיק תלתן, לא יכול לפטור את המאשימה מהחובה להודיע על התיקון שבוצע בכתב האישום ומהחובה כי העתק מכתב האישום המתוקן יומצא לנאשמת.</w:t>
      </w:r>
    </w:p>
    <w:p w:rsidR="00AA6CC6" w:rsidRDefault="00AA6CC6" w:rsidP="002623CC">
      <w:pPr>
        <w:spacing w:line="300" w:lineRule="exact"/>
        <w:jc w:val="both"/>
        <w:rPr>
          <w:noProof w:val="0"/>
          <w:rtl/>
        </w:rPr>
      </w:pP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b/>
          <w:bCs/>
          <w:noProof w:val="0"/>
          <w:u w:val="single"/>
          <w:rtl/>
        </w:rPr>
      </w:pPr>
      <w:r>
        <w:rPr>
          <w:b/>
          <w:bCs/>
          <w:noProof w:val="0"/>
          <w:u w:val="single"/>
          <w:rtl/>
        </w:rPr>
        <w:t>הוספת סמליל התלתן לכתב האישום מנוגדת לחוק</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זאת ועוד, סעיף 85 לחסד"פ [נוסח משולב] התשמ"ב 1982 קובע מפורשות מה יכיל כתב האישום. </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סמליל התלתן לא נכלל ברשימה זו.</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סעיף 239 לחסד"פ [נוסח משולב] התשמ"ב  1982מסמיך את שר המשפטים באישור ועדת החוקה חוק ומשפט של הכנסת לקבוע תקנות סדרי אישום והמצאת מסמכים אף בסטיה מהוראת חוק זה. ואכן במסגרת תסד"פ התשל"ד 1974  הוסדרו טפסים אשר אושרו לצורך הזמנת נאשמים לבתי משפט בעבירות תעבורה. </w:t>
      </w:r>
    </w:p>
    <w:p w:rsidR="00AA6CC6" w:rsidRDefault="00AA6CC6" w:rsidP="002623CC">
      <w:pPr>
        <w:spacing w:line="300" w:lineRule="exact"/>
        <w:jc w:val="both"/>
        <w:rPr>
          <w:noProof w:val="0"/>
          <w:rtl/>
        </w:rPr>
      </w:pPr>
      <w:r>
        <w:rPr>
          <w:noProof w:val="0"/>
          <w:rtl/>
        </w:rPr>
        <w:t>סמליל התלתן אינו מופיע אף בטפסים המאושרים. (ראו בעניין זה החלטתה המפורטת של כב' הש' שורץ בתתע"א 1872-03-14).</w:t>
      </w:r>
    </w:p>
    <w:p w:rsidR="00AA6CC6" w:rsidRDefault="00AA6CC6" w:rsidP="002623CC">
      <w:pPr>
        <w:spacing w:line="300" w:lineRule="exact"/>
        <w:jc w:val="both"/>
        <w:rPr>
          <w:noProof w:val="0"/>
          <w:rtl/>
        </w:rPr>
      </w:pPr>
    </w:p>
    <w:p w:rsidR="00AA6CC6" w:rsidRDefault="00AA6CC6" w:rsidP="002623CC">
      <w:pPr>
        <w:spacing w:line="300" w:lineRule="exact"/>
        <w:jc w:val="both"/>
        <w:rPr>
          <w:b/>
          <w:bCs/>
          <w:noProof w:val="0"/>
          <w:u w:val="single"/>
          <w:rtl/>
        </w:rPr>
      </w:pPr>
      <w:r>
        <w:rPr>
          <w:b/>
          <w:bCs/>
          <w:noProof w:val="0"/>
          <w:u w:val="single"/>
          <w:rtl/>
        </w:rPr>
        <w:lastRenderedPageBreak/>
        <w:t>העברת מסרים לבית המשפט שלא בידיעת הנאשמת</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סימון סמליל התלתן על כתב האישום יש בו משום העברת מסרים לבית המשפט, שלא בידיעת הנאשמת.</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לטעמי אין זה  ראוי שבית המשפט יקבל מסר מהמאשימה אשר לא הובא לידיעת הנאשמת.</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גם אילו קיבלה הנאשמת את העתק כתב האישום המתוקן הכולל את סמליל התלתן, לא יכולה היתה  לדעת את פשרו של הסמליל, לא על ידי חיפוש בספר החוקים ולא על ידי חיפוש ברשומות.</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לטעמי, כל מסר אשר מבקשת המאשימה להעביר לבית המשפט, חייב להיות גלוי ונהיר לכל הצדדים המתדיינים.</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כך למשל, תובע אשר סבור כי קיימת אפשרות שיבקש מבית המשפט להטיל על נאשם עונש מאסר בפועל באם יורשע, עליו להודיע על כך לבית המשפט במועד הגשת כתב האישום. (סעיף 15א לחסד"פ [נוסח משולב] התשמ"ב 1982. הוראה זו הוסדרה בחקיקה ראשית).</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הוראה זו מתבצעת באופן שכבר בכתב האישום נרשמת עמדתה העונשית של המאשימה באופן מפורש, במילים ברורות – ולא באמצעות סמליל סודי (למשל סמליל של אזיקים). </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כך גם בדיון הראשון אשר מתקיים בבית המשפט המאשימה מציינת במפורש לפרוטוקול , כי באם יורשע תעתור למאסר הדברים נאמרים במפורש, ולא באמצעות סמליל אשר פשרו לא מובן לנאשם.</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כך לטעמי, אם מבקשת המאשימה  ליתן קדימות לטיפול בעבירה המיוחסת לנאשמת, עליה לומר את הדברים במפורש, כך שגם הנאשמת תהא מודעת לעמדה זה ולא באמצעות סימול אשר מובן רק למאשימה ולבית המשפט.</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באשר לזימון הנאשמת לשיפוט מהיר תוך 30 יום, עניין זה לכשעצמו אינו מצריך סימון התיק, שכן בהתאם לנהלי העבודה בין בתי המשפט ומשטרת ישראל, המאשימה מקבלת מבתי המשפט את רשימת המועדים אליהם ניתן לזמן נאשמים, והיא זו אשר בוחרת את המועד אליו יוזמנו, כפי שאף בעניינה של הנאשמת, בחרה המאשימה לזמנה לדיון תוך 11 יום מביצוע העבירה.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lastRenderedPageBreak/>
        <w:t>באשר לעמדת המאשימה לפיה אין בסימול התלתן כדי ללמד על הרשעותיהם של נאשמים, גם בעניין זה מצאתי צדק רב בדברי ב"כ הנאשמת.</w:t>
      </w:r>
    </w:p>
    <w:p w:rsidR="00AA6CC6" w:rsidRDefault="00AA6CC6" w:rsidP="002623CC">
      <w:pPr>
        <w:spacing w:line="300" w:lineRule="exact"/>
        <w:jc w:val="both"/>
        <w:rPr>
          <w:noProof w:val="0"/>
          <w:rtl/>
        </w:rPr>
      </w:pPr>
    </w:p>
    <w:p w:rsidR="00AA6CC6" w:rsidRDefault="00AA6CC6" w:rsidP="002623CC">
      <w:pPr>
        <w:spacing w:line="300" w:lineRule="exact"/>
        <w:jc w:val="both"/>
        <w:rPr>
          <w:b/>
          <w:bCs/>
          <w:noProof w:val="0"/>
          <w:u w:val="single"/>
          <w:rtl/>
        </w:rPr>
      </w:pPr>
      <w:r>
        <w:rPr>
          <w:b/>
          <w:bCs/>
          <w:noProof w:val="0"/>
          <w:u w:val="single"/>
          <w:rtl/>
        </w:rPr>
        <w:t>סימון עבירת שכרות שלישית כתיק תלתן:</w:t>
      </w: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noProof w:val="0"/>
          <w:rtl/>
        </w:rPr>
      </w:pPr>
      <w:r>
        <w:rPr>
          <w:noProof w:val="0"/>
          <w:rtl/>
        </w:rPr>
        <w:t xml:space="preserve">בניגוד לתגובתה הראשונית של המאשימה מיום 22.3.15, ובניגוד אף לתגובת רמ"ד תביעות את"ן, רשימת העבירות המסווגות כעבירות תלתן, כפי שהוגשה למנהל בתי המשפט - </w:t>
      </w:r>
      <w:r>
        <w:rPr>
          <w:b/>
          <w:bCs/>
          <w:noProof w:val="0"/>
          <w:rtl/>
        </w:rPr>
        <w:t>כן כוללת עבירה שהחומרה אינה נלמדת מטיב העבירה אלא בשל עברו של הנאשם</w:t>
      </w:r>
      <w:r>
        <w:rPr>
          <w:noProof w:val="0"/>
          <w:rtl/>
        </w:rPr>
        <w:t>, והכוונה לעבירה אשר מוגדרת על ידי המאשימה: "נהיגה בשכרות פעם שלישית, ללא קשר לכמות אלכוהול שנמדדה".</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ברשימת העבירות המסווגות כ"תלתן" נכללת עבירת השכרות במספר מצבים:</w:t>
      </w:r>
    </w:p>
    <w:p w:rsidR="00AA6CC6" w:rsidRDefault="00AA6CC6" w:rsidP="002623CC">
      <w:pPr>
        <w:pStyle w:val="af1"/>
        <w:numPr>
          <w:ilvl w:val="0"/>
          <w:numId w:val="1"/>
        </w:numPr>
        <w:spacing w:line="300" w:lineRule="exact"/>
        <w:jc w:val="both"/>
        <w:rPr>
          <w:rtl/>
        </w:rPr>
      </w:pPr>
      <w:r>
        <w:rPr>
          <w:rFonts w:hint="eastAsia"/>
          <w:rtl/>
        </w:rPr>
        <w:t>נהיגה</w:t>
      </w:r>
      <w:r>
        <w:rPr>
          <w:rtl/>
        </w:rPr>
        <w:t xml:space="preserve"> </w:t>
      </w:r>
      <w:r>
        <w:rPr>
          <w:rFonts w:hint="eastAsia"/>
          <w:rtl/>
        </w:rPr>
        <w:t>בשכרות</w:t>
      </w:r>
      <w:r>
        <w:rPr>
          <w:rtl/>
        </w:rPr>
        <w:t xml:space="preserve"> </w:t>
      </w:r>
      <w:r>
        <w:rPr>
          <w:rFonts w:hint="eastAsia"/>
          <w:rtl/>
        </w:rPr>
        <w:t>כאשר</w:t>
      </w:r>
      <w:r>
        <w:rPr>
          <w:rtl/>
        </w:rPr>
        <w:t xml:space="preserve"> </w:t>
      </w:r>
      <w:r>
        <w:rPr>
          <w:rFonts w:hint="eastAsia"/>
          <w:rtl/>
        </w:rPr>
        <w:t>תוצאת</w:t>
      </w:r>
      <w:r>
        <w:rPr>
          <w:rtl/>
        </w:rPr>
        <w:t xml:space="preserve"> </w:t>
      </w:r>
      <w:r>
        <w:rPr>
          <w:rFonts w:hint="eastAsia"/>
          <w:rtl/>
        </w:rPr>
        <w:t>הבדיקה</w:t>
      </w:r>
      <w:r>
        <w:rPr>
          <w:rtl/>
        </w:rPr>
        <w:t xml:space="preserve"> </w:t>
      </w:r>
      <w:r>
        <w:rPr>
          <w:rFonts w:hint="eastAsia"/>
          <w:rtl/>
        </w:rPr>
        <w:t>פי</w:t>
      </w:r>
      <w:r>
        <w:rPr>
          <w:rtl/>
        </w:rPr>
        <w:t xml:space="preserve"> 2.5 </w:t>
      </w:r>
      <w:r>
        <w:rPr>
          <w:rFonts w:hint="eastAsia"/>
          <w:rtl/>
        </w:rPr>
        <w:t>ומעלה</w:t>
      </w:r>
      <w:r>
        <w:rPr>
          <w:rtl/>
        </w:rPr>
        <w:t xml:space="preserve"> </w:t>
      </w:r>
      <w:r>
        <w:rPr>
          <w:rFonts w:hint="eastAsia"/>
          <w:rtl/>
        </w:rPr>
        <w:t>מרף</w:t>
      </w:r>
      <w:r>
        <w:rPr>
          <w:rtl/>
        </w:rPr>
        <w:t xml:space="preserve"> </w:t>
      </w:r>
      <w:r>
        <w:rPr>
          <w:rFonts w:hint="eastAsia"/>
          <w:rtl/>
        </w:rPr>
        <w:t>המקים</w:t>
      </w:r>
      <w:r>
        <w:rPr>
          <w:rtl/>
        </w:rPr>
        <w:t xml:space="preserve"> </w:t>
      </w:r>
      <w:r>
        <w:rPr>
          <w:rFonts w:hint="eastAsia"/>
          <w:rtl/>
        </w:rPr>
        <w:t>חזקת</w:t>
      </w:r>
      <w:r>
        <w:rPr>
          <w:rtl/>
        </w:rPr>
        <w:t xml:space="preserve"> </w:t>
      </w:r>
      <w:r>
        <w:rPr>
          <w:rFonts w:hint="eastAsia"/>
          <w:rtl/>
        </w:rPr>
        <w:t>שכרות</w:t>
      </w:r>
      <w:r>
        <w:rPr>
          <w:rtl/>
        </w:rPr>
        <w:t xml:space="preserve"> </w:t>
      </w:r>
      <w:r>
        <w:rPr>
          <w:rFonts w:hint="eastAsia"/>
          <w:rtl/>
        </w:rPr>
        <w:t>לפי</w:t>
      </w:r>
      <w:r>
        <w:rPr>
          <w:rtl/>
        </w:rPr>
        <w:t xml:space="preserve"> </w:t>
      </w:r>
      <w:r>
        <w:rPr>
          <w:rFonts w:hint="eastAsia"/>
          <w:rtl/>
        </w:rPr>
        <w:t>חוק</w:t>
      </w:r>
      <w:r>
        <w:rPr>
          <w:rtl/>
        </w:rPr>
        <w:t>.</w:t>
      </w:r>
    </w:p>
    <w:p w:rsidR="00AA6CC6" w:rsidRDefault="00AA6CC6" w:rsidP="002623CC">
      <w:pPr>
        <w:pStyle w:val="af1"/>
        <w:numPr>
          <w:ilvl w:val="0"/>
          <w:numId w:val="1"/>
        </w:numPr>
        <w:spacing w:line="300" w:lineRule="exact"/>
        <w:jc w:val="both"/>
        <w:rPr>
          <w:rtl/>
        </w:rPr>
      </w:pPr>
      <w:r>
        <w:rPr>
          <w:rFonts w:hint="eastAsia"/>
          <w:rtl/>
        </w:rPr>
        <w:t>נהיגה</w:t>
      </w:r>
      <w:r>
        <w:rPr>
          <w:rtl/>
        </w:rPr>
        <w:t xml:space="preserve"> </w:t>
      </w:r>
      <w:r>
        <w:rPr>
          <w:rFonts w:hint="eastAsia"/>
          <w:rtl/>
        </w:rPr>
        <w:t>בשכרות</w:t>
      </w:r>
      <w:r>
        <w:rPr>
          <w:rtl/>
        </w:rPr>
        <w:t xml:space="preserve"> </w:t>
      </w:r>
      <w:r>
        <w:rPr>
          <w:rFonts w:hint="eastAsia"/>
          <w:rtl/>
        </w:rPr>
        <w:t>פעם</w:t>
      </w:r>
      <w:r>
        <w:rPr>
          <w:rtl/>
        </w:rPr>
        <w:t xml:space="preserve"> </w:t>
      </w:r>
      <w:r>
        <w:rPr>
          <w:rFonts w:hint="eastAsia"/>
          <w:rtl/>
        </w:rPr>
        <w:t>שלישית</w:t>
      </w:r>
      <w:r>
        <w:rPr>
          <w:rtl/>
        </w:rPr>
        <w:t xml:space="preserve">, </w:t>
      </w:r>
      <w:r>
        <w:rPr>
          <w:rFonts w:hint="eastAsia"/>
          <w:rtl/>
        </w:rPr>
        <w:t>ללא</w:t>
      </w:r>
      <w:r>
        <w:rPr>
          <w:rtl/>
        </w:rPr>
        <w:t xml:space="preserve"> </w:t>
      </w:r>
      <w:r>
        <w:rPr>
          <w:rFonts w:hint="eastAsia"/>
          <w:rtl/>
        </w:rPr>
        <w:t>קשר</w:t>
      </w:r>
      <w:r>
        <w:rPr>
          <w:rtl/>
        </w:rPr>
        <w:t xml:space="preserve"> </w:t>
      </w:r>
      <w:r>
        <w:rPr>
          <w:rFonts w:hint="eastAsia"/>
          <w:rtl/>
        </w:rPr>
        <w:t>לכמות</w:t>
      </w:r>
      <w:r>
        <w:rPr>
          <w:rtl/>
        </w:rPr>
        <w:t xml:space="preserve"> </w:t>
      </w:r>
      <w:r>
        <w:rPr>
          <w:rFonts w:hint="eastAsia"/>
          <w:rtl/>
        </w:rPr>
        <w:t>אלכוהול</w:t>
      </w:r>
      <w:r>
        <w:rPr>
          <w:rtl/>
        </w:rPr>
        <w:t xml:space="preserve"> </w:t>
      </w:r>
      <w:r>
        <w:rPr>
          <w:rFonts w:hint="eastAsia"/>
          <w:rtl/>
        </w:rPr>
        <w:t>שנמדדה</w:t>
      </w:r>
      <w:r>
        <w:rPr>
          <w:rtl/>
        </w:rPr>
        <w:t>.</w:t>
      </w:r>
    </w:p>
    <w:p w:rsidR="00AA6CC6" w:rsidRDefault="00AA6CC6" w:rsidP="002623CC">
      <w:pPr>
        <w:pStyle w:val="af1"/>
        <w:numPr>
          <w:ilvl w:val="0"/>
          <w:numId w:val="1"/>
        </w:numPr>
        <w:spacing w:line="300" w:lineRule="exact"/>
        <w:jc w:val="both"/>
      </w:pPr>
      <w:r>
        <w:rPr>
          <w:rFonts w:hint="eastAsia"/>
          <w:rtl/>
        </w:rPr>
        <w:t>נהיגה</w:t>
      </w:r>
      <w:r>
        <w:rPr>
          <w:rtl/>
        </w:rPr>
        <w:t xml:space="preserve"> </w:t>
      </w:r>
      <w:r>
        <w:rPr>
          <w:rFonts w:hint="eastAsia"/>
          <w:rtl/>
        </w:rPr>
        <w:t>תחת</w:t>
      </w:r>
      <w:r>
        <w:rPr>
          <w:rtl/>
        </w:rPr>
        <w:t xml:space="preserve"> </w:t>
      </w:r>
      <w:r>
        <w:rPr>
          <w:rFonts w:hint="eastAsia"/>
          <w:rtl/>
        </w:rPr>
        <w:t>השפעת</w:t>
      </w:r>
      <w:r>
        <w:rPr>
          <w:rtl/>
        </w:rPr>
        <w:t xml:space="preserve"> </w:t>
      </w:r>
      <w:r>
        <w:rPr>
          <w:rFonts w:hint="eastAsia"/>
          <w:rtl/>
        </w:rPr>
        <w:t>אלכוהול</w:t>
      </w:r>
      <w:r>
        <w:rPr>
          <w:rtl/>
        </w:rPr>
        <w:t xml:space="preserve"> </w:t>
      </w:r>
      <w:r>
        <w:rPr>
          <w:rFonts w:hint="eastAsia"/>
          <w:rtl/>
        </w:rPr>
        <w:t>בצירוף</w:t>
      </w:r>
      <w:r>
        <w:rPr>
          <w:rtl/>
        </w:rPr>
        <w:t xml:space="preserve"> </w:t>
      </w:r>
      <w:r>
        <w:rPr>
          <w:rFonts w:hint="eastAsia"/>
          <w:rtl/>
        </w:rPr>
        <w:t>עבירה</w:t>
      </w:r>
      <w:r>
        <w:rPr>
          <w:rtl/>
        </w:rPr>
        <w:t xml:space="preserve"> </w:t>
      </w:r>
      <w:r>
        <w:rPr>
          <w:rFonts w:hint="eastAsia"/>
          <w:rtl/>
        </w:rPr>
        <w:t>של</w:t>
      </w:r>
      <w:r>
        <w:rPr>
          <w:rtl/>
        </w:rPr>
        <w:t xml:space="preserve"> </w:t>
      </w:r>
      <w:r>
        <w:rPr>
          <w:rFonts w:hint="eastAsia"/>
          <w:rtl/>
        </w:rPr>
        <w:t>נהיגה</w:t>
      </w:r>
      <w:r>
        <w:rPr>
          <w:rtl/>
        </w:rPr>
        <w:t xml:space="preserve"> </w:t>
      </w:r>
      <w:r>
        <w:rPr>
          <w:rFonts w:hint="eastAsia"/>
          <w:rtl/>
        </w:rPr>
        <w:t>בפסילה</w:t>
      </w:r>
      <w:r>
        <w:rPr>
          <w:rtl/>
        </w:rPr>
        <w:t xml:space="preserve"> </w:t>
      </w:r>
      <w:r>
        <w:rPr>
          <w:rFonts w:hint="eastAsia"/>
          <w:rtl/>
        </w:rPr>
        <w:t>ו</w:t>
      </w:r>
      <w:r>
        <w:rPr>
          <w:rtl/>
        </w:rPr>
        <w:t>/</w:t>
      </w:r>
      <w:r>
        <w:rPr>
          <w:rFonts w:hint="eastAsia"/>
          <w:rtl/>
        </w:rPr>
        <w:t>או</w:t>
      </w:r>
      <w:r>
        <w:rPr>
          <w:rtl/>
        </w:rPr>
        <w:t xml:space="preserve"> </w:t>
      </w:r>
      <w:r>
        <w:rPr>
          <w:rFonts w:hint="eastAsia"/>
          <w:rtl/>
        </w:rPr>
        <w:t>גרימת</w:t>
      </w:r>
      <w:r>
        <w:rPr>
          <w:rtl/>
        </w:rPr>
        <w:t xml:space="preserve"> </w:t>
      </w:r>
      <w:r>
        <w:rPr>
          <w:rFonts w:hint="eastAsia"/>
          <w:rtl/>
        </w:rPr>
        <w:t>תאונת</w:t>
      </w:r>
      <w:r>
        <w:rPr>
          <w:rtl/>
        </w:rPr>
        <w:t xml:space="preserve"> </w:t>
      </w:r>
      <w:r>
        <w:rPr>
          <w:rFonts w:hint="eastAsia"/>
          <w:rtl/>
        </w:rPr>
        <w:t>דרכים</w:t>
      </w:r>
      <w:r>
        <w:rPr>
          <w:rtl/>
        </w:rPr>
        <w:t>.</w:t>
      </w:r>
    </w:p>
    <w:p w:rsidR="00AA6CC6" w:rsidRDefault="00AA6CC6" w:rsidP="002623CC">
      <w:pPr>
        <w:spacing w:line="300" w:lineRule="exact"/>
        <w:jc w:val="both"/>
      </w:pPr>
      <w:r>
        <w:rPr>
          <w:noProof w:val="0"/>
          <w:rtl/>
        </w:rPr>
        <w:t xml:space="preserve">קרי עבירת שכרות "רגילה" (אשר תוצאתה אינה פי 2.5 ומעלה מרף האכיפה המקים חזקת שכרות), אינה נכללת ברשימת תיקי התלתן, אלא אם כן זהו אירוע שכרות שלישי של אותו נאשם. </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על כן כאשר בית המשפט מקבל לידו כתב אישום ובו מיוחסת לנאשם עבירת שכרות ברף "הנמוך", למעשה בית המשפט לומד גם לומד על עברו התעבורתי המכביד של אותו נאשם, וכי זוהי עבירת שכרות שלישית שלו,  ובכך לטעמי יש פגיעה ממשית בזכויותיו של אותו נאשם.</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דוגמאות בודדות לתיקים כאלו אשר הוגשו לבית משפט זה:</w:t>
      </w:r>
    </w:p>
    <w:p w:rsidR="00AA6CC6" w:rsidRDefault="00AA6CC6" w:rsidP="002623CC">
      <w:pPr>
        <w:spacing w:line="300" w:lineRule="exact"/>
        <w:jc w:val="both"/>
        <w:rPr>
          <w:noProof w:val="0"/>
          <w:rtl/>
        </w:rPr>
      </w:pPr>
      <w:r>
        <w:rPr>
          <w:noProof w:val="0"/>
          <w:rtl/>
        </w:rPr>
        <w:t>תת"ע 5991-12-14 (דוח 30250490270) תיק אשר סומן "תלתן" – שכרות 360 מ"ג אלכוהול.</w:t>
      </w:r>
    </w:p>
    <w:p w:rsidR="00AA6CC6" w:rsidRDefault="00AA6CC6" w:rsidP="002623CC">
      <w:pPr>
        <w:spacing w:line="300" w:lineRule="exact"/>
        <w:jc w:val="both"/>
        <w:rPr>
          <w:noProof w:val="0"/>
          <w:rtl/>
        </w:rPr>
      </w:pPr>
      <w:r>
        <w:rPr>
          <w:noProof w:val="0"/>
          <w:rtl/>
        </w:rPr>
        <w:t>תת"ע 6096-06-14 (דוח 30250410484) תיק אשר סומן "תלתן" – שכרות 370 מ"ג אלכוהול.</w:t>
      </w:r>
    </w:p>
    <w:p w:rsidR="00AA6CC6" w:rsidRDefault="00AA6CC6" w:rsidP="002623CC">
      <w:pPr>
        <w:spacing w:line="300" w:lineRule="exact"/>
        <w:jc w:val="both"/>
        <w:rPr>
          <w:noProof w:val="0"/>
          <w:rtl/>
        </w:rPr>
      </w:pPr>
      <w:r>
        <w:rPr>
          <w:noProof w:val="0"/>
          <w:rtl/>
        </w:rPr>
        <w:t>תת"ע 1838-02-15 (דוח 30250505960) תיק אשר סומן "תלתן" – שכרות 400 מ"ג אלכוהול.</w:t>
      </w:r>
    </w:p>
    <w:p w:rsidR="00AA6CC6" w:rsidRDefault="00AA6CC6" w:rsidP="002623CC">
      <w:pPr>
        <w:spacing w:line="300" w:lineRule="exact"/>
        <w:jc w:val="both"/>
        <w:rPr>
          <w:noProof w:val="0"/>
          <w:rtl/>
        </w:rPr>
      </w:pPr>
      <w:r>
        <w:rPr>
          <w:noProof w:val="0"/>
          <w:rtl/>
        </w:rPr>
        <w:t>תת"ע 5998-06-14 (דוח 30250410559) תיק אשר סומן "תלתן" – שכרות 515 מ"ג אלכוהול.</w:t>
      </w:r>
    </w:p>
    <w:p w:rsidR="00AA6CC6" w:rsidRDefault="00AA6CC6" w:rsidP="002623CC">
      <w:pPr>
        <w:spacing w:line="300" w:lineRule="exact"/>
        <w:jc w:val="both"/>
        <w:rPr>
          <w:noProof w:val="0"/>
          <w:rtl/>
        </w:rPr>
      </w:pPr>
    </w:p>
    <w:p w:rsidR="00AA6CC6" w:rsidRDefault="00AA6CC6" w:rsidP="002623CC">
      <w:pPr>
        <w:spacing w:line="300" w:lineRule="exact"/>
        <w:jc w:val="both"/>
        <w:rPr>
          <w:b/>
          <w:bCs/>
          <w:noProof w:val="0"/>
          <w:u w:val="single"/>
          <w:rtl/>
        </w:rPr>
      </w:pPr>
      <w:r>
        <w:rPr>
          <w:b/>
          <w:bCs/>
          <w:noProof w:val="0"/>
          <w:u w:val="single"/>
          <w:rtl/>
        </w:rPr>
        <w:t xml:space="preserve">סימון עבירות מסוג ברירת משפט כתיק תלתן </w:t>
      </w: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noProof w:val="0"/>
          <w:rtl/>
        </w:rPr>
      </w:pPr>
      <w:r>
        <w:rPr>
          <w:noProof w:val="0"/>
          <w:rtl/>
        </w:rPr>
        <w:t xml:space="preserve">למותר לציין כי המאשימה אינה מקפידה לסמן כתיק תלתן רק את העבירות אשר מצויות ברשימה אשר נמסרה להנהלת בתי המשפט, וכי תקלות רבות שקיימות מצביעות על כך כי הסימון נעשה באופן לקוי. </w:t>
      </w:r>
    </w:p>
    <w:p w:rsidR="00AA6CC6" w:rsidRDefault="00AA6CC6" w:rsidP="002623CC">
      <w:pPr>
        <w:spacing w:line="300" w:lineRule="exact"/>
        <w:jc w:val="both"/>
        <w:rPr>
          <w:b/>
          <w:bCs/>
          <w:noProof w:val="0"/>
          <w:u w:val="single"/>
          <w:rtl/>
        </w:rPr>
      </w:pPr>
      <w:r>
        <w:rPr>
          <w:noProof w:val="0"/>
          <w:rtl/>
        </w:rPr>
        <w:t>להלן דוגמאות בודדות מיני רבות  בהן אף עבירות "קלות" מסוג ברירת משפט סומנו כתיקי תלתן:</w:t>
      </w: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noProof w:val="0"/>
          <w:rtl/>
        </w:rPr>
      </w:pPr>
      <w:r>
        <w:rPr>
          <w:noProof w:val="0"/>
          <w:rtl/>
        </w:rPr>
        <w:t>תת"ע 4307-06-14 (דוח 38110353927) דוח מסוג ברירת משפט– שימוש בטלפון שלא באמצעות דיבורית – סומן כתיק תלתן.</w:t>
      </w:r>
    </w:p>
    <w:p w:rsidR="00AA6CC6" w:rsidRDefault="00AA6CC6" w:rsidP="002623CC">
      <w:pPr>
        <w:spacing w:line="300" w:lineRule="exact"/>
        <w:jc w:val="both"/>
        <w:rPr>
          <w:noProof w:val="0"/>
          <w:rtl/>
        </w:rPr>
      </w:pPr>
      <w:r>
        <w:rPr>
          <w:noProof w:val="0"/>
          <w:rtl/>
        </w:rPr>
        <w:lastRenderedPageBreak/>
        <w:t>תת"ע 7220-03-14 (דוח 38110340759) דוח מסוג ברירת משפט – נוסע שאינו חגור בחגורת בטיחות – סומן כתיק תלתן.</w:t>
      </w:r>
    </w:p>
    <w:p w:rsidR="00AA6CC6" w:rsidRDefault="00AA6CC6" w:rsidP="002623CC">
      <w:pPr>
        <w:spacing w:line="300" w:lineRule="exact"/>
        <w:jc w:val="both"/>
        <w:rPr>
          <w:noProof w:val="0"/>
          <w:rtl/>
        </w:rPr>
      </w:pPr>
    </w:p>
    <w:p w:rsidR="00AA6CC6" w:rsidRDefault="00AA6CC6" w:rsidP="002623CC">
      <w:pPr>
        <w:spacing w:line="300" w:lineRule="exact"/>
        <w:jc w:val="both"/>
        <w:rPr>
          <w:b/>
          <w:bCs/>
          <w:noProof w:val="0"/>
          <w:u w:val="single"/>
          <w:rtl/>
        </w:rPr>
      </w:pPr>
      <w:r>
        <w:rPr>
          <w:b/>
          <w:bCs/>
          <w:noProof w:val="0"/>
          <w:u w:val="single"/>
          <w:rtl/>
        </w:rPr>
        <w:t>ומן הכלל אל הפרט</w:t>
      </w: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noProof w:val="0"/>
          <w:rtl/>
        </w:rPr>
      </w:pPr>
      <w:r>
        <w:rPr>
          <w:noProof w:val="0"/>
          <w:rtl/>
        </w:rPr>
        <w:t>לאור כל האמור, מסכימה אני עם ב"כ הנאשמת, כי בתיק זה האופן בו בוצע התיקון בכתב האישום על ידי הוספת סמליל התלתן, מבלי שהובא כלל לידיעת הנאשמת אינו תקין.</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על כן, אני נעתרת לבקשת ב"כ הנאשמת ומורה למאשימה למחוק מכתב האישום את סמליל התלתן.</w:t>
      </w:r>
    </w:p>
    <w:p w:rsidR="00AA6CC6" w:rsidRDefault="00AA6CC6" w:rsidP="002623CC">
      <w:pPr>
        <w:spacing w:line="300" w:lineRule="exact"/>
        <w:jc w:val="both"/>
        <w:rPr>
          <w:noProof w:val="0"/>
          <w:rtl/>
        </w:rPr>
      </w:pPr>
    </w:p>
    <w:p w:rsidR="00AA6CC6" w:rsidRDefault="00AA6CC6" w:rsidP="002623CC">
      <w:pPr>
        <w:spacing w:line="300" w:lineRule="exact"/>
        <w:jc w:val="both"/>
        <w:rPr>
          <w:b/>
          <w:bCs/>
          <w:noProof w:val="0"/>
          <w:u w:val="single"/>
          <w:rtl/>
        </w:rPr>
      </w:pPr>
      <w:r>
        <w:rPr>
          <w:b/>
          <w:bCs/>
          <w:noProof w:val="0"/>
          <w:u w:val="single"/>
          <w:rtl/>
        </w:rPr>
        <w:t>המאשימה תגיש לבית המשפט תוך 14 יום כתב אישום מתוקן אשר לא כולל את סמליל התלתן.</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לא מצאתי כי יש בפגמים עליהם הצבעתי כדי להביא לפסלותי מלדון בתיק זה, בפרט שמתגובת רמ"ד תביעות את"ן נמצאתי למדה כי סמליל התלתן בעניינה של הנאשמת הוסף לאישום בשל מהות העבירה, ולא בשל עברה של הנאשמת, אף כי  מצאתי לציין שעבירת השכרות מכח סירוב לבדיקת נשיפה, אינה מצוייה ברשימת העבירות אשר הומצאה למנהל בתי המשפט ואשר סווגו על ידי המאשימה כעבירות תלת"ן (למעט סמל הסעיף).  </w:t>
      </w:r>
    </w:p>
    <w:p w:rsidR="00AA6CC6" w:rsidRDefault="00AA6CC6" w:rsidP="002623CC">
      <w:pPr>
        <w:spacing w:line="300" w:lineRule="exact"/>
        <w:jc w:val="both"/>
        <w:rPr>
          <w:rFonts w:cs="Arial"/>
          <w:noProof w:val="0"/>
          <w:rtl/>
        </w:rPr>
      </w:pPr>
    </w:p>
    <w:p w:rsidR="00AA6CC6" w:rsidRDefault="00AA6CC6" w:rsidP="002623CC">
      <w:pPr>
        <w:spacing w:line="300" w:lineRule="exact"/>
        <w:jc w:val="both"/>
        <w:rPr>
          <w:rFonts w:cs="Arial"/>
          <w:noProof w:val="0"/>
          <w:rtl/>
        </w:rPr>
      </w:pPr>
      <w:r>
        <w:rPr>
          <w:noProof w:val="0"/>
          <w:rtl/>
        </w:rPr>
        <w:t>תשומת לב הצדדים כי התיק קבוע להוכחות ליום 30.6.15, וכי בהתאם להחלטתי מיום 22.3.15 היה על המאשימה להמציא לבית המשפט את רשימת העדים שבכוונתה לזמן, וזאת עד ליום 29.3.15.</w:t>
      </w:r>
    </w:p>
    <w:p w:rsidR="00AA6CC6" w:rsidRDefault="00AA6CC6" w:rsidP="002623CC">
      <w:pPr>
        <w:spacing w:line="300" w:lineRule="exact"/>
        <w:jc w:val="both"/>
        <w:rPr>
          <w:noProof w:val="0"/>
          <w:rtl/>
        </w:rPr>
      </w:pPr>
    </w:p>
    <w:p w:rsidR="00AA6CC6" w:rsidRDefault="00AA6CC6" w:rsidP="002623CC">
      <w:pPr>
        <w:spacing w:line="300" w:lineRule="exact"/>
        <w:jc w:val="both"/>
        <w:rPr>
          <w:noProof w:val="0"/>
          <w:rtl/>
        </w:rPr>
      </w:pPr>
      <w:r>
        <w:rPr>
          <w:noProof w:val="0"/>
          <w:rtl/>
        </w:rPr>
        <w:t xml:space="preserve">עד כה טרם הועברה רשימת עדים ולכן טרם זומנו עדי התביעה. </w:t>
      </w: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b/>
          <w:bCs/>
          <w:noProof w:val="0"/>
          <w:u w:val="single"/>
          <w:rtl/>
        </w:rPr>
      </w:pPr>
      <w:r>
        <w:rPr>
          <w:b/>
          <w:bCs/>
          <w:noProof w:val="0"/>
          <w:u w:val="single"/>
          <w:rtl/>
        </w:rPr>
        <w:t>המאשימה מתבקשת להמציא לבית המשפט בדחיפות את רשימת העדים שבכוונתה לזמן לדיון.</w:t>
      </w:r>
    </w:p>
    <w:p w:rsidR="00AA6CC6" w:rsidRDefault="00AA6CC6" w:rsidP="002623CC">
      <w:pPr>
        <w:spacing w:line="300" w:lineRule="exact"/>
        <w:jc w:val="both"/>
        <w:rPr>
          <w:b/>
          <w:bCs/>
          <w:noProof w:val="0"/>
          <w:u w:val="single"/>
          <w:rtl/>
        </w:rPr>
      </w:pPr>
    </w:p>
    <w:p w:rsidR="00AA6CC6" w:rsidRDefault="00AA6CC6" w:rsidP="002623CC">
      <w:pPr>
        <w:spacing w:line="300" w:lineRule="exact"/>
        <w:jc w:val="both"/>
        <w:rPr>
          <w:b/>
          <w:bCs/>
          <w:noProof w:val="0"/>
          <w:u w:val="single"/>
          <w:rtl/>
        </w:rPr>
      </w:pPr>
      <w:r>
        <w:rPr>
          <w:b/>
          <w:bCs/>
          <w:noProof w:val="0"/>
          <w:u w:val="single"/>
          <w:rtl/>
        </w:rPr>
        <w:t>מזכירות תעביר העתק ההחלטה לב"כ הצדדים.</w:t>
      </w:r>
    </w:p>
    <w:p w:rsidR="00AA6CC6" w:rsidRDefault="00AA6CC6" w:rsidP="002623CC">
      <w:pPr>
        <w:spacing w:line="300" w:lineRule="exact"/>
        <w:jc w:val="both"/>
        <w:rPr>
          <w:b/>
          <w:bCs/>
          <w:noProof w:val="0"/>
          <w:u w:val="single"/>
          <w:rtl/>
        </w:rPr>
      </w:pPr>
    </w:p>
    <w:p w:rsidR="00AA6CC6" w:rsidRDefault="00AA6CC6">
      <w:pPr>
        <w:spacing w:line="360" w:lineRule="auto"/>
        <w:jc w:val="both"/>
        <w:rPr>
          <w:rFonts w:ascii="Arial" w:hAnsi="Arial"/>
          <w:noProof w:val="0"/>
          <w:rtl/>
        </w:rPr>
      </w:pPr>
      <w:r>
        <w:rPr>
          <w:rFonts w:ascii="Arial" w:hAnsi="Arial"/>
          <w:noProof w:val="0"/>
          <w:rtl/>
        </w:rPr>
        <w:t>ניתנה היום, י"ד אייר תשע"ה, 03 מאי 2015, בהעדר הצדדים.</w:t>
      </w:r>
    </w:p>
    <w:p w:rsidR="00AA6CC6" w:rsidRDefault="00AA6CC6" w:rsidP="00BD6531">
      <w:pPr>
        <w:tabs>
          <w:tab w:val="left" w:pos="2553"/>
        </w:tabs>
        <w:ind w:left="5040"/>
        <w:rPr>
          <w:noProof w:val="0"/>
          <w:rtl/>
        </w:rPr>
      </w:pPr>
      <w:r>
        <w:rPr>
          <w:noProof w:val="0"/>
          <w:rtl/>
        </w:rPr>
        <w:t xml:space="preserve">     </w:t>
      </w:r>
    </w:p>
    <w:p w:rsidR="00AA6CC6" w:rsidRDefault="00AA6CC6" w:rsidP="00BD6531">
      <w:pPr>
        <w:tabs>
          <w:tab w:val="left" w:pos="2553"/>
        </w:tabs>
      </w:pPr>
      <w:r>
        <w:rPr>
          <w:noProof w:val="0"/>
          <w:rtl/>
        </w:rPr>
        <w:tab/>
      </w:r>
      <w:r>
        <w:rPr>
          <w:noProof w:val="0"/>
          <w:rtl/>
        </w:rPr>
        <w:tab/>
      </w:r>
      <w:r>
        <w:rPr>
          <w:noProof w:val="0"/>
          <w:rtl/>
        </w:rPr>
        <w:tab/>
      </w:r>
      <w:r>
        <w:rPr>
          <w:noProof w:val="0"/>
          <w:rtl/>
        </w:rPr>
        <w:tab/>
        <w:t xml:space="preserve">        </w:t>
      </w:r>
      <w:r w:rsidR="002821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80.5pt;visibility:visible">
            <v:imagedata r:id="rId8" o:title=""/>
          </v:shape>
        </w:pict>
      </w:r>
    </w:p>
    <w:p w:rsidR="00AA6CC6" w:rsidRDefault="00AA6CC6" w:rsidP="00BD6531">
      <w:pPr>
        <w:tabs>
          <w:tab w:val="left" w:pos="2553"/>
        </w:tabs>
        <w:rPr>
          <w:rFonts w:ascii="Arial" w:hAnsi="Arial"/>
          <w:noProof w:val="0"/>
          <w:rtl/>
        </w:rPr>
      </w:pPr>
    </w:p>
    <w:sectPr w:rsidR="00AA6CC6" w:rsidSect="006C30C5">
      <w:headerReference w:type="default" r:id="rId9"/>
      <w:footerReference w:type="default" r:id="rId10"/>
      <w:pgSz w:w="11907" w:h="16840" w:code="9"/>
      <w:pgMar w:top="454" w:right="1701" w:bottom="1701" w:left="1701" w:header="720" w:footer="510" w:gutter="0"/>
      <w:lnNumType w:countBy="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17D" w:rsidRDefault="0028217D">
      <w:r>
        <w:separator/>
      </w:r>
    </w:p>
  </w:endnote>
  <w:endnote w:type="continuationSeparator" w:id="0">
    <w:p w:rsidR="0028217D" w:rsidRDefault="0028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CC6" w:rsidRPr="004E6E3C" w:rsidRDefault="00AA6CC6">
    <w:pPr>
      <w:pStyle w:val="a5"/>
      <w:jc w:val="center"/>
      <w:rPr>
        <w:rStyle w:val="af"/>
        <w:rFonts w:cs="David"/>
      </w:rPr>
    </w:pPr>
    <w:r w:rsidRPr="004E6E3C">
      <w:rPr>
        <w:rStyle w:val="af"/>
      </w:rPr>
      <w:fldChar w:fldCharType="begin"/>
    </w:r>
    <w:r w:rsidRPr="004E6E3C">
      <w:rPr>
        <w:rStyle w:val="af"/>
      </w:rPr>
      <w:instrText xml:space="preserve"> PAGE </w:instrText>
    </w:r>
    <w:r w:rsidRPr="004E6E3C">
      <w:rPr>
        <w:rStyle w:val="af"/>
      </w:rPr>
      <w:fldChar w:fldCharType="separate"/>
    </w:r>
    <w:r w:rsidR="001C17AD">
      <w:rPr>
        <w:rStyle w:val="af"/>
        <w:rtl/>
      </w:rPr>
      <w:t>1</w:t>
    </w:r>
    <w:r w:rsidRPr="004E6E3C">
      <w:rPr>
        <w:rStyle w:val="af"/>
      </w:rPr>
      <w:fldChar w:fldCharType="end"/>
    </w:r>
    <w:r w:rsidRPr="004E6E3C">
      <w:rPr>
        <w:rStyle w:val="af"/>
        <w:rFonts w:cs="David"/>
        <w:noProof w:val="0"/>
        <w:rtl/>
      </w:rPr>
      <w:t xml:space="preserve"> מתוך </w:t>
    </w:r>
    <w:r w:rsidRPr="004E6E3C">
      <w:rPr>
        <w:rStyle w:val="af"/>
        <w:rFonts w:cs="David"/>
      </w:rPr>
      <w:fldChar w:fldCharType="begin"/>
    </w:r>
    <w:r w:rsidRPr="004E6E3C">
      <w:rPr>
        <w:rStyle w:val="af"/>
        <w:rFonts w:cs="David"/>
      </w:rPr>
      <w:instrText xml:space="preserve"> NUMPAGES </w:instrText>
    </w:r>
    <w:r w:rsidRPr="004E6E3C">
      <w:rPr>
        <w:rStyle w:val="af"/>
        <w:rFonts w:cs="David"/>
      </w:rPr>
      <w:fldChar w:fldCharType="separate"/>
    </w:r>
    <w:r w:rsidR="001C17AD">
      <w:rPr>
        <w:rStyle w:val="af"/>
        <w:rFonts w:cs="David"/>
        <w:rtl/>
      </w:rPr>
      <w:t>6</w:t>
    </w:r>
    <w:r w:rsidRPr="004E6E3C">
      <w:rPr>
        <w:rStyle w:val="af"/>
        <w:rFonts w:cs="Dav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17D" w:rsidRDefault="0028217D">
      <w:r>
        <w:separator/>
      </w:r>
    </w:p>
  </w:footnote>
  <w:footnote w:type="continuationSeparator" w:id="0">
    <w:p w:rsidR="0028217D" w:rsidRDefault="00282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CC6" w:rsidRDefault="0028217D">
    <w:pPr>
      <w:pStyle w:val="a3"/>
      <w:jc w:val="center"/>
      <w:rPr>
        <w:rFonts w:cs="FrankRuehl"/>
        <w:noProof w:val="0"/>
        <w:sz w:val="28"/>
        <w:szCs w:val="28"/>
        <w:rtl/>
      </w:rPr>
    </w:pPr>
    <w:r>
      <w:rPr>
        <w:rFonts w:cs="FrankRueh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ישראל - המנורה - 2" style="width:29.5pt;height:37pt;visibility:visible">
          <v:imagedata r:id="rId1" o:title=""/>
        </v:shape>
      </w:pict>
    </w:r>
  </w:p>
  <w:tbl>
    <w:tblPr>
      <w:bidiVisual/>
      <w:tblW w:w="0" w:type="auto"/>
      <w:jc w:val="center"/>
      <w:tblLook w:val="0000" w:firstRow="0" w:lastRow="0" w:firstColumn="0" w:lastColumn="0" w:noHBand="0" w:noVBand="0"/>
    </w:tblPr>
    <w:tblGrid>
      <w:gridCol w:w="5047"/>
      <w:gridCol w:w="3674"/>
    </w:tblGrid>
    <w:tr w:rsidR="00AA6CC6">
      <w:trPr>
        <w:trHeight w:hRule="exact" w:val="704"/>
        <w:jc w:val="center"/>
      </w:trPr>
      <w:tc>
        <w:tcPr>
          <w:tcW w:w="8721" w:type="dxa"/>
          <w:gridSpan w:val="2"/>
        </w:tcPr>
        <w:p w:rsidR="00AA6CC6" w:rsidRDefault="00AA6CC6" w:rsidP="003230C7">
          <w:pPr>
            <w:pStyle w:val="a3"/>
            <w:jc w:val="center"/>
            <w:rPr>
              <w:rFonts w:ascii="Tahoma" w:hAnsi="Tahoma" w:cs="Tahoma"/>
              <w:noProof w:val="0"/>
              <w:color w:val="000080"/>
            </w:rPr>
          </w:pPr>
          <w:r w:rsidRPr="003D1C8C">
            <w:rPr>
              <w:rFonts w:ascii="Tahoma" w:hAnsi="Tahoma" w:cs="Tahoma"/>
              <w:b/>
              <w:bCs/>
              <w:noProof w:val="0"/>
              <w:color w:val="000080"/>
              <w:rtl/>
            </w:rPr>
            <w:t>בית משפט השלום לתעבורה באשדוד</w:t>
          </w:r>
        </w:p>
      </w:tc>
    </w:tr>
    <w:tr w:rsidR="00AA6CC6">
      <w:trPr>
        <w:trHeight w:val="337"/>
        <w:jc w:val="center"/>
      </w:trPr>
      <w:tc>
        <w:tcPr>
          <w:tcW w:w="5047" w:type="dxa"/>
        </w:tcPr>
        <w:p w:rsidR="00AA6CC6" w:rsidRDefault="00AA6CC6">
          <w:pPr>
            <w:rPr>
              <w:b/>
              <w:bCs/>
              <w:noProof w:val="0"/>
              <w:sz w:val="26"/>
              <w:szCs w:val="26"/>
            </w:rPr>
          </w:pPr>
        </w:p>
      </w:tc>
      <w:tc>
        <w:tcPr>
          <w:tcW w:w="3674" w:type="dxa"/>
        </w:tcPr>
        <w:p w:rsidR="00AA6CC6" w:rsidRDefault="00AA6CC6">
          <w:pPr>
            <w:pStyle w:val="a3"/>
            <w:jc w:val="right"/>
            <w:rPr>
              <w:b/>
              <w:bCs/>
              <w:noProof w:val="0"/>
              <w:sz w:val="26"/>
              <w:szCs w:val="26"/>
            </w:rPr>
          </w:pPr>
        </w:p>
      </w:tc>
    </w:tr>
    <w:tr w:rsidR="00AA6CC6">
      <w:trPr>
        <w:trHeight w:val="337"/>
        <w:jc w:val="center"/>
      </w:trPr>
      <w:tc>
        <w:tcPr>
          <w:tcW w:w="8721" w:type="dxa"/>
          <w:gridSpan w:val="2"/>
        </w:tcPr>
        <w:p w:rsidR="00AA6CC6" w:rsidRDefault="00AA6CC6" w:rsidP="007D45E3">
          <w:pPr>
            <w:rPr>
              <w:b/>
              <w:bCs/>
              <w:noProof w:val="0"/>
              <w:sz w:val="26"/>
              <w:szCs w:val="26"/>
              <w:rtl/>
            </w:rPr>
          </w:pPr>
          <w:r>
            <w:rPr>
              <w:b/>
              <w:bCs/>
              <w:noProof w:val="0"/>
              <w:sz w:val="26"/>
              <w:szCs w:val="26"/>
              <w:rtl/>
            </w:rPr>
            <w:t>תת"ע 2417-05-14 מדינת ישראל נ' אולשקר</w:t>
          </w:r>
        </w:p>
        <w:p w:rsidR="00AA6CC6" w:rsidRPr="007B7765" w:rsidRDefault="00AA6CC6" w:rsidP="007D45E3">
          <w:pPr>
            <w:rPr>
              <w:b/>
              <w:bCs/>
              <w:noProof w:val="0"/>
              <w:sz w:val="2"/>
              <w:szCs w:val="2"/>
              <w:rtl/>
            </w:rPr>
          </w:pPr>
        </w:p>
        <w:p w:rsidR="00AA6CC6" w:rsidRDefault="00AA6CC6" w:rsidP="007D45E3">
          <w:pPr>
            <w:rPr>
              <w:noProof w:val="0"/>
              <w:sz w:val="20"/>
              <w:szCs w:val="20"/>
              <w:rtl/>
            </w:rPr>
          </w:pPr>
          <w:r>
            <w:rPr>
              <w:noProof w:val="0"/>
              <w:rtl/>
            </w:rPr>
            <w:t xml:space="preserve">                           </w:t>
          </w:r>
          <w:r>
            <w:rPr>
              <w:noProof w:val="0"/>
              <w:sz w:val="20"/>
              <w:szCs w:val="20"/>
              <w:rtl/>
            </w:rPr>
            <w:t xml:space="preserve">                                       </w:t>
          </w:r>
        </w:p>
        <w:p w:rsidR="00AA6CC6" w:rsidRPr="00E1068A" w:rsidRDefault="00AA6CC6" w:rsidP="007D45E3">
          <w:pPr>
            <w:rPr>
              <w:noProof w:val="0"/>
              <w:sz w:val="20"/>
              <w:szCs w:val="20"/>
            </w:rPr>
          </w:pPr>
          <w:r w:rsidRPr="00E1068A">
            <w:rPr>
              <w:noProof w:val="0"/>
              <w:sz w:val="20"/>
              <w:szCs w:val="20"/>
              <w:rtl/>
            </w:rPr>
            <w:t xml:space="preserve">תיק חיצוני: </w:t>
          </w:r>
          <w:r>
            <w:rPr>
              <w:noProof w:val="0"/>
              <w:sz w:val="20"/>
              <w:szCs w:val="20"/>
              <w:rtl/>
            </w:rPr>
            <w:t>30210030752</w:t>
          </w:r>
          <w:r w:rsidRPr="00E1068A">
            <w:rPr>
              <w:noProof w:val="0"/>
              <w:sz w:val="20"/>
              <w:szCs w:val="20"/>
              <w:rtl/>
            </w:rPr>
            <w:t xml:space="preserve">   </w:t>
          </w:r>
        </w:p>
      </w:tc>
    </w:tr>
  </w:tbl>
  <w:p w:rsidR="00AA6CC6" w:rsidRDefault="00AA6CC6">
    <w:pPr>
      <w:pStyle w:val="a3"/>
      <w:rPr>
        <w:noProof w:val="0"/>
        <w:rtl/>
      </w:rPr>
    </w:pPr>
    <w:r>
      <w:rPr>
        <w:noProof w:val="0"/>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82E"/>
    <w:multiLevelType w:val="hybridMultilevel"/>
    <w:tmpl w:val="B510B8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aseID" w:val="71865140"/>
    <w:docVar w:name="CasePresentationDS" w:val="&amp;lt;?xml version=&amp;quot;1.0&amp;quot;?&amp;gt;&amp;lt;CasePresentationDS&amp;gt;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    &amp;lt;xs:element name=&amp;quot;CasePresentationDS&amp;quot; msdata:IsDataSet=&amp;quot;true&amp;quot; msdata:Locale=&amp;quot;&amp;quot;&amp;gt;      &amp;lt;xs:complexType&amp;gt;        &amp;lt;xs:choice minOccurs=&amp;quot;0&amp;quot; maxOccurs=&amp;quot;unbounded&amp;quot;&amp;gt;          &amp;lt;xs:element name=&amp;quot;CasePresentationDataSet&amp;quot;&amp;gt;            &amp;lt;xs:complexType&amp;gt;              &amp;lt;xs:sequence&amp;gt;                &amp;lt;xs:element name=&amp;quot;CaseID&amp;quot; type=&amp;quot;xs:int&amp;quot; /&amp;gt;                &amp;lt;xs:element name=&amp;quot;CaseMonth&amp;quot; type=&amp;quot;xs:int&amp;quot; /&amp;gt;                &amp;lt;xs:element name=&amp;quot;CaseYear&amp;quot; type=&amp;quot;xs:int&amp;quot; /&amp;gt;                &amp;lt;xs:element name=&amp;quot;CaseNumber&amp;quot; type=&amp;quot;xs:int&amp;quot; /&amp;gt;                &amp;lt;xs:element name=&amp;quot;NumeratorGroupID&amp;quot; type=&amp;quot;xs:int&amp;quot; /&amp;gt;                &amp;lt;xs:element name=&amp;quot;CaseName&amp;quot; type=&amp;quot;xs:string&amp;quot; /&amp;gt;                &amp;lt;xs:element name=&amp;quot;CourtID&amp;quot; type=&amp;quot;xs:int&amp;quot; /&amp;gt;                &amp;lt;xs:element name=&amp;quot;CaseTypeID&amp;quot; type=&amp;quot;xs:int&amp;quot; /&amp;gt;                &amp;lt;xs:element name=&amp;quot;CaseInterestID&amp;quot; type=&amp;quot;xs:int&amp;quot; minOccurs=&amp;quot;0&amp;quot; /&amp;gt;                &amp;lt;xs:element name=&amp;quot;CaseJudgeName&amp;quot; type=&amp;quot;xs:string&amp;quot; minOccurs=&amp;quot;0&amp;quot; /&amp;gt;                &amp;lt;xs:element name=&amp;quot;CaseLinkTypeID&amp;quot; type=&amp;quot;xs:int&amp;quot; minOccurs=&amp;quot;0&amp;quot; /&amp;gt;                &amp;lt;xs:element name=&amp;quot;ProcedureID&amp;quot; type=&amp;quot;xs:int&amp;quot; minOccurs=&amp;quot;0&amp;quot; /&amp;gt;                &amp;lt;xs:element name=&amp;quot;PreviousCaseYear&amp;quot; type=&amp;quot;xs:string&amp;quot; minOccurs=&amp;quot;0&amp;quot; /&amp;gt;                &amp;lt;xs:element name=&amp;quot;PreviousCaseNumber&amp;quot; type=&amp;quot;xs:int&amp;quot; minOccurs=&amp;quot;0&amp;quot; /&amp;gt;                &amp;lt;xs:element name=&amp;quot;CaseStatusID&amp;quot; type=&amp;quot;xs:int&amp;quot; /&amp;gt;                &amp;lt;xs:element name=&amp;quot;ProceedingID&amp;quot; type=&amp;quot;xs:int&amp;quot; /&amp;gt;                &amp;lt;xs:element name=&amp;quot;IsCaseLinked&amp;quot; type=&amp;quot;xs:boolean&amp;quot; /&amp;gt;                &amp;lt;xs:element name=&amp;quot;IsCaseConverted&amp;quot; type=&amp;quot;xs:boolean&amp;quot; minOccurs=&amp;quot;0&amp;quot; /&amp;gt;                &amp;lt;xs:element name=&amp;quot;PrivilegeID&amp;quot; type=&amp;quot;xs:int&amp;quot; /&amp;gt;                &amp;lt;xs:element name=&amp;quot;IsAppealingCaseExist&amp;quot; type=&amp;quot;xs:boolean&amp;quot; minOccurs=&amp;quot;0&amp;quot; /&amp;gt;                &amp;lt;xs:element name=&amp;quot;CaseDisplayIdentifier&amp;quot; type=&amp;quot;xs:string&amp;quot; minOccurs=&amp;quot;0&amp;quot; /&amp;gt;                &amp;lt;xs:element name=&amp;quot;CaseTypeDesc&amp;quot; type=&amp;quot;xs:string&amp;quot; minOccurs=&amp;quot;0&amp;quot; /&amp;gt;                &amp;lt;xs:element name=&amp;quot;CourtDesc&amp;quot; type=&amp;quot;xs:string&amp;quot; minOccurs=&amp;quot;0&amp;quot; /&amp;gt;                &amp;lt;xs:element name=&amp;quot;CaseStageDesc&amp;quot; type=&amp;quot;xs:string&amp;quot; /&amp;gt;                &amp;lt;xs:element name=&amp;quot;IsPendingExemptionDecision&amp;quot; type=&amp;quot;xs:boolean&amp;quot; minOccurs=&amp;quot;0&amp;quot; /&amp;gt;                &amp;lt;xs:element name=&amp;quot;IsPendingEntitlementDecision&amp;quot; type=&amp;quot;xs:boolean&amp;quot; minOccurs=&amp;quot;0&amp;quot; /&amp;gt;                &amp;lt;xs:element name=&amp;quot;IsPendingDifferentCaseVerdict&amp;quot; type=&amp;quot;xs:boolean&amp;quot; minOccurs=&amp;quot;0&amp;quot; /&amp;gt;                &amp;lt;xs:element name=&amp;quot;IsUnpaidFeeExist&amp;quot; type=&amp;quot;xs:boolean&amp;quot; minOccurs=&amp;quot;0&amp;quot; /&amp;gt;                &amp;lt;xs:element name=&amp;quot;IsExecutionDelayed&amp;quot; type=&amp;quot;xs:boolean&amp;quot; minOccurs=&amp;quot;0&amp;quot; /&amp;gt;                &amp;lt;xs:element name=&amp;quot;CaseEntitiesArrestResult&amp;quot; type=&amp;quot;xs:string&amp;quot; minOccurs=&amp;quot;0&amp;quot; /&amp;gt;                &amp;lt;xs:element name=&amp;quot;CasePreviousSessionDate&amp;quot; type=&amp;quot;xs:dateTime&amp;quot; minOccurs=&amp;quot;0&amp;quot; /&amp;gt;                &amp;lt;xs:element name=&amp;quot;CaseNextSessionDate&amp;quot; type=&amp;quot;xs:dateTime&amp;quot; minOccurs=&amp;quot;0&amp;quot; /&amp;gt;                &amp;lt;xs:element name=&amp;quot;PreviousCaseNumberDesc&amp;quot; type=&amp;quot;xs:string&amp;quot; minOccurs=&amp;quot;0&amp;quot; /&amp;gt;                &amp;lt;xs:element name=&amp;quot;SubCaseNumber&amp;quot; type=&amp;quot;xs:int&amp;quot; minOccurs=&amp;quot;0&amp;quot; /&amp;gt;                &amp;lt;xs:element name=&amp;quot;CaseNextDeterminingTask&amp;quot; type=&amp;quot;xs:int&amp;quot; minOccurs=&amp;quot;0&amp;quot; /&amp;gt;                &amp;lt;xs:element name=&amp;quot;TemporaryAidStatus&amp;quot; type=&amp;quot;xs:string&amp;quot; minOccurs=&amp;quot;0&amp;quot; /&amp;gt;                &amp;lt;xs:element name=&amp;quot;CaseOpenDate&amp;quot; type=&amp;quot;xs:dateTime&amp;quot; /&amp;gt;                &amp;lt;xs:element name=&amp;quot;PleaTypeID&amp;quot; type=&amp;quot;xs:int&amp;quot; minOccurs=&amp;quot;0&amp;quot; /&amp;gt;                &amp;lt;xs:element name=&amp;quot;CourtLevelID&amp;quot; type=&amp;quot;xs:int&amp;quot; minOccurs=&amp;quot;0&amp;quot; /&amp;gt;                &amp;lt;xs:element name=&amp;quot;CourtLevelCaseTypeInterestID&amp;quot; type=&amp;quot;xs:int&amp;quot; minOccurs=&amp;quot;0&amp;quot; /&amp;gt;                &amp;lt;xs:element name=&amp;quot;CaseJudgeFirstName&amp;quot; type=&amp;quot;xs:string&amp;quot; minOccurs=&amp;quot;0&amp;quot; /&amp;gt;                &amp;lt;xs:element name=&amp;quot;CaseJudgeLastName&amp;quot; type=&amp;quot;xs:string&amp;quot; minOccurs=&amp;quot;0&amp;quot; /&amp;gt;                &amp;lt;xs:element name=&amp;quot;JudicalPersonID&amp;quot; type=&amp;quot;xs:string&amp;quot; minOccurs=&amp;quot;0&amp;quot; /&amp;gt;                &amp;lt;xs:element name=&amp;quot;IsJudicalPanel&amp;quot; type=&amp;quot;xs:boolean&amp;quot; minOccurs=&amp;quot;0&amp;quot; /&amp;gt;                &amp;lt;xs:element name=&amp;quot;CourtDisplayName&amp;quot; type=&amp;quot;xs:string&amp;quot; minOccurs=&amp;quot;0&amp;quot; /&amp;gt;                &amp;lt;xs:element name=&amp;quot;IsAllStartDataCollected&amp;quot; type=&amp;quot;xs:boolean&amp;quot; minOccurs=&amp;quot;0&amp;quot; /&amp;gt;                &amp;lt;xs:element name=&amp;quot;IsMainCase&amp;quot; type=&amp;quot;xs:boolean&amp;quot; minOccurs=&amp;quot;0&amp;quot; /&amp;gt;                &amp;lt;xs:element name=&amp;quot;PreviousCourtID&amp;quot; type=&amp;quot;xs:int&amp;quot; minOccurs=&amp;quot;0&amp;quot; /&amp;gt;                &amp;lt;xs:element name=&amp;quot;PreviousCaseTypeID&amp;quot; type=&amp;quot;xs:int&amp;quot; minOccurs=&amp;quot;0&amp;quot; /&amp;gt;                &amp;lt;xs:element name=&amp;quot;CaseDesc&amp;quot; type=&amp;quot;xs:string&amp;quot; minOccurs=&amp;quot;0&amp;quot; /&amp;gt;                &amp;lt;xs:element name=&amp;quot;isExistMinorSide&amp;quot; type=&amp;quot;xs:boolean&amp;quot; minOccurs=&amp;quot;0&amp;quot; /&amp;gt;                &amp;lt;xs:element name=&amp;quot;isExistMinorWitness&amp;quot; type=&amp;quot;xs:boolean&amp;quot; minOccurs=&amp;quot;0&amp;quot; /&amp;gt;                &amp;lt;xs:element name=&amp;quot;CaseNextSessionTypeID&amp;quot; type=&amp;quot;xs:int&amp;quot; minOccurs=&amp;quot;0&amp;quot; /&amp;gt;                &amp;lt;xs:element name=&amp;quot;CasePreviousSessionTypeID&amp;quot; type=&amp;quot;xs:int&amp;quot; minOccurs=&amp;quot;0&amp;quot; /&amp;gt;                &amp;lt;xs:element name=&amp;quot;CasePermitStatus&amp;quot; type=&amp;quot;xs:int&amp;quot; minOccurs=&amp;quot;0&amp;quot; /&amp;gt;                &amp;lt;xs:element name=&amp;quot;InstitutionalPathID&amp;quot; type=&amp;quot;xs:int&amp;quot; minOccurs=&amp;quot;0&amp;quot; /&amp;gt;                &amp;lt;xs:element name=&amp;quot;PreviousCaseIdentifier&amp;quot; type=&amp;quot;xs:string&amp;quot; minOccurs=&amp;quot;0&amp;quot; /&amp;gt;                &amp;lt;xs:element name=&amp;quot;ArchivingActivityID&amp;quot; type=&amp;quot;xs:int&amp;quot; minOccurs=&amp;quot;0&amp;quot; /&amp;gt;                &amp;lt;xs:element name=&amp;quot;GettingReasonID&amp;quot; type=&amp;quot;xs:int&amp;quot; minOccurs=&amp;quot;0&amp;quot; /&amp;gt;                &amp;lt;xs:element name=&amp;quot;StorageDate&amp;quot; type=&amp;quot;xs:dateTime&amp;quot; minOccurs=&amp;quot;0&amp;quot; /&amp;gt;                &amp;lt;xs:element name=&amp;quot;IsArchivingActivityManuallyUpdated&amp;quot; type=&amp;quot;xs:boolean&amp;quot; minOccurs=&amp;quot;0&amp;quot; /&amp;gt;                &amp;lt;xs:element name=&amp;quot;StorageDateRecalculationDate&amp;quot; type=&amp;quot;xs:dateTime&amp;quot; minOccurs=&amp;quot;0&amp;quot; /&amp;gt;                &amp;lt;xs:element name=&amp;quot;IsDecisionTypeZaveElyon&amp;quot; type=&amp;quot;xs:boolean&amp;quot; minOccurs=&amp;quot;0&amp;quot; /&amp;gt;                &amp;lt;xs:element name=&amp;quot;IsGuaranteeDeposit&amp;quot; type=&amp;quot;xs:boolean&amp;quot; minOccurs=&amp;quot;0&amp;quot; /&amp;gt;                &amp;lt;xs:element name=&amp;quot;IsFeePaid&amp;quot; type=&amp;quot;xs:boolean&amp;quot; minOccurs=&amp;quot;0&amp;quot; /&amp;gt;                &amp;lt;xs:element name=&amp;quot;IsExistCancelledArrest&amp;quot; type=&amp;quot;xs:boolean&amp;quot; minOccurs=&amp;quot;0&amp;quot; /&amp;gt;                &amp;lt;xs:element name=&amp;quot;IsExistPrisoner&amp;quot; type=&amp;quot;xs:boolean&amp;quot; minOccurs=&amp;quot;0&amp;quot; /&amp;gt;                &amp;lt;xs:element name=&amp;quot;IsExistDetainee&amp;quot; type=&amp;quot;xs:boolean&amp;quot; minOccurs=&amp;quot;0&amp;quot; /&amp;gt;                &amp;lt;xs:element name=&amp;quot;IsDebitExist&amp;quot; type=&amp;quot;xs:boolean&amp;quot; minOccurs=&amp;quot;0&amp;quot; /&amp;gt;                &amp;lt;xs:element name=&amp;quot;DebitExsitDate&amp;quot; type=&amp;quot;xs:dateTime&amp;quot; minOccurs=&amp;quot;0&amp;quot; /&amp;gt;                &amp;lt;xs:element name=&amp;quot;OpenFeeIndication&amp;quot; type=&amp;quot;xs:int&amp;quot; minOccurs=&amp;quot;0&amp;quot; /&amp;gt;                &amp;lt;xs:element name=&amp;quot;GuaranteeIndication&amp;quot; type=&amp;quot;xs:int&amp;quot; minOccurs=&amp;quot;0&amp;quot; /&amp;gt;                &amp;lt;xs:element name=&amp;quot;DelayedPunishmentDate&amp;quot; type=&amp;quot;xs:dateTime&amp;quot; minOccurs=&amp;quot;0&amp;quot; /&amp;gt;                &amp;lt;xs:element name=&amp;quot;IsExistSeizure&amp;quot; type=&amp;quot;xs:boolean&amp;quot; minOccurs=&amp;quot;0&amp;quot; /&amp;gt;                &amp;lt;xs:element name=&amp;quot;IsExemptionExistInCase&amp;quot; type=&amp;quot;xs:boolean&amp;quot; minOccurs=&amp;quot;0&amp;quot; /&amp;gt;                &amp;lt;xs:element name=&amp;quot;IsDebitTransferedInCase&amp;quot; type=&amp;quot;xs:boolean&amp;quot; minOccurs=&amp;quot;0&amp;quot; /&amp;gt;                &amp;lt;xs:element name=&amp;quot;IsUnconvertedCase&amp;quot; type=&amp;quot;xs:boolean&amp;quot; minOccurs=&amp;quot;0&amp;quot; /&amp;gt;                &amp;lt;xs:element name=&amp;quot;ActiveInCaseSuspendedLawyers&amp;quot; type=&amp;quot;xs:string&amp;quot; minOccurs=&amp;quot;0&amp;quot; /&amp;gt;              &amp;lt;/xs:sequence&amp;gt;            &amp;lt;/xs:complexType&amp;gt;          &amp;lt;/xs:element&amp;gt;        &amp;lt;/xs:choice&amp;gt;      &amp;lt;/xs:complexType&amp;gt;    &amp;lt;/xs:element&amp;gt;  &amp;lt;/xs:schema&amp;gt;  &amp;lt;diffgr:diffgram xmlns:msdata=&amp;quot;urn:schemas-microsoft-com:xml-msdata&amp;quot; xmlns:diffgr=&amp;quot;urn:schemas-microsoft-com:xml-diffgram-v1&amp;quot;&amp;gt;    &amp;lt;CasePresentationDS xmlns=&amp;quot;http://tempuri.org/CasePresentationDS.xsd&amp;quot;&amp;gt;      &amp;lt;CasePresentationDataSet diffgr:id=&amp;quot;CasePresentationDataSet1&amp;quot; msdata:rowOrder=&amp;quot;0&amp;quot; diffgr:hasChanges=&amp;quot;modified&amp;quot;&amp;gt;        &amp;lt;CaseID&amp;gt;71865140&amp;lt;/CaseID&amp;gt;        &amp;lt;CaseMonth&amp;gt;5&amp;lt;/CaseMonth&amp;gt;        &amp;lt;CaseYear&amp;gt;2014&amp;lt;/CaseYear&amp;gt;        &amp;lt;CaseNumber&amp;gt;2417&amp;lt;/CaseNumber&amp;gt;        &amp;lt;NumeratorGroupID&amp;gt;2&amp;lt;/NumeratorGroupID&amp;gt;        &amp;lt;CaseName&amp;gt;????? ????? ?&amp;#39; ????º?&amp;lt;/CaseName&amp;gt;        &amp;lt;CourtID&amp;gt;43&amp;lt;/CourtID&amp;gt;        &amp;lt;CaseTypeID&amp;gt;10054&amp;lt;/CaseTypeID&amp;gt;        &amp;lt;CaseJudgeName&amp;gt;???? ?º???&amp;lt;/CaseJudgeName&amp;gt;        &amp;lt;CaseLinkTypeID&amp;gt;9&amp;lt;/CaseLinkTypeID&amp;gt;        &amp;lt;ProcedureID&amp;gt;2&amp;lt;/ProcedureID&amp;gt;        &amp;lt;CaseStatusID&amp;gt;1&amp;lt;/CaseStatusID&amp;gt;        &amp;lt;ProceedingID&amp;gt;5&amp;lt;/ProceedingID&amp;gt;        &amp;lt;IsCaseLinked&amp;gt;true&amp;lt;/IsCaseLinked&amp;gt;        &amp;lt;PrivilegeID&amp;gt;1&amp;lt;/PrivilegeID&amp;gt;        &amp;lt;IsAppealingCaseExist&amp;gt;false&amp;lt;/IsAppealingCaseExist&amp;gt;        &amp;lt;CaseDisplayIdentifier&amp;gt;2417-05-14&amp;lt;/CaseDisplayIdentifier&amp;gt;        &amp;lt;CaseTypeDesc&amp;gt;??&amp;quot;?&amp;lt;/CaseTypeDesc&amp;gt;        &amp;lt;CourtDesc&amp;gt;???? ?????&amp;lt;/CourtDesc&amp;gt;        &amp;lt;CaseStageDesc&amp;gt;??º ??º?????&amp;lt;/CaseStageDesc&amp;gt;        &amp;lt;IsPendingExemptionDecision&amp;gt;false&amp;lt;/IsPendingExemptionDecision&amp;gt;        &amp;lt;IsPendingEntitlementDecision&amp;gt;false&amp;lt;/IsPendingEntitlementDecision&amp;gt;        &amp;lt;IsUnpaidFeeExist&amp;gt;false&amp;lt;/IsUnpaidFeeExist&amp;gt;        &amp;lt;CasePreviousSessionDate&amp;gt;2015-03-30T10:30:00+03:00&amp;lt;/CasePreviousSessionDate&amp;gt;        &amp;lt;CaseNextSessionDate&amp;gt;2015-06-30T12:00:00+03:00&amp;lt;/CaseNextSessionDate&amp;gt;        &amp;lt;CaseNextDeterminingTask&amp;gt;156&amp;lt;/CaseNextDeterminingTask&amp;gt;        &amp;lt;TemporaryAidStatus /&amp;gt;        &amp;lt;CaseOpenDate&amp;gt;2014-05-06T19:36:29.34+03:00&amp;lt;/CaseOpenDate&amp;gt;        &amp;lt;PleaTypeID&amp;gt;8&amp;lt;/PleaTypeID&amp;gt;        &amp;lt;CourtLevelID&amp;gt;1&amp;lt;/CourtLevelID&amp;gt;        &amp;lt;CaseJudgeFirstName&amp;gt;????&amp;lt;/CaseJudgeFirstName&amp;gt;        &amp;lt;CaseJudgeLastName&amp;gt;?º???&amp;lt;/CaseJudgeLastName&amp;gt;        &amp;lt;JudicalPersonID&amp;gt;024926933@GOV.IL&amp;lt;/JudicalPersonID&amp;gt;        &amp;lt;IsJudicalPanel&amp;gt;false&amp;lt;/IsJudicalPanel&amp;gt;        &amp;lt;CourtDisplayName&amp;gt;??? ???? ????? ??????? ??????&amp;lt;/CourtDisplayName&amp;gt;        &amp;lt;IsAllStartDataCollected&amp;gt;true&amp;lt;/IsAllStartDataCollected&amp;gt;        &amp;lt;IsMainCase&amp;gt;false&amp;lt;/IsMainCase&amp;gt;        &amp;lt;CaseDesc&amp;gt;????? ???? 16/4/15 ????? ??º? ??????? ???? ??????.???? ?.&amp;lt;/CaseDesc&amp;gt;        &amp;lt;isExistMinorSide&amp;gt;false&amp;lt;/isExistMinorSide&amp;gt;        &amp;lt;isExistMinorWitness&amp;gt;false&amp;lt;/isExistMinorWitness&amp;gt;        &amp;lt;CaseNextSessionTypeID&amp;gt;2&amp;lt;/CaseNextSessionTypeID&amp;gt;        &amp;lt;CasePreviousSessionTypeID&amp;gt;29&amp;lt;/CasePreviousSessionTypeID&amp;gt;        &amp;lt;CasePermitStatus&amp;gt;1&amp;lt;/CasePermitStatus&amp;gt;        &amp;lt;ArchivingActivityID&amp;gt;1&amp;lt;/ArchivingActivityID&amp;gt;        &amp;lt;IsDecisionTypeZaveElyon&amp;gt;false&amp;lt;/IsDecisionTypeZaveElyon&amp;gt;        &amp;lt;IsExistPrisoner&amp;gt;false&amp;lt;/IsExistPrisoner&amp;gt;        &amp;lt;IsExistDetainee&amp;gt;false&amp;lt;/IsExistDetainee&amp;gt;        &amp;lt;IsDebitExist&amp;gt;false&amp;lt;/IsDebitExist&amp;gt;        &amp;lt;DebitExsitDate&amp;gt;2015-05-03T03:00:00+03:00&amp;lt;/DebitExsitDate&amp;gt;        &amp;lt;IsExistSeizure&amp;gt;false&amp;lt;/IsExistSeizure&amp;gt;        &amp;lt;IsExemptionExistInCase&amp;gt;false&amp;lt;/IsExemptionExistInCase&amp;gt;        &amp;lt;IsDebitTransferedInCase&amp;gt;false&amp;lt;/IsDebitTransferedInCase&amp;gt;      &amp;lt;/CasePresentationDataSet&amp;gt;    &amp;lt;/CasePresentationDS&amp;gt;    &amp;lt;diffgr:before&amp;gt;      &amp;lt;CasePresentationDataSet diffgr:id=&amp;quot;CasePresentationDataSet1&amp;quot; msdata:rowOrder=&amp;quot;0&amp;quot; xmlns=&amp;quot;http://tempuri.org/CasePresentationDS.xsd&amp;quot;&amp;gt;        &amp;lt;CaseID&amp;gt;71865140&amp;lt;/CaseID&amp;gt;        &amp;lt;CaseMonth&amp;gt;5&amp;lt;/CaseMonth&amp;gt;        &amp;lt;CaseYear&amp;gt;2014&amp;lt;/CaseYear&amp;gt;        &amp;lt;CaseNumber&amp;gt;2417&amp;lt;/CaseNumber&amp;gt;        &amp;lt;NumeratorGroupID&amp;gt;2&amp;lt;/NumeratorGroupID&amp;gt;        &amp;lt;CaseName&amp;gt;????? ????? ?&amp;#39; ????º?&amp;lt;/CaseName&amp;gt;        &amp;lt;CourtID&amp;gt;43&amp;lt;/CourtID&amp;gt;        &amp;lt;CaseTypeID&amp;gt;10054&amp;lt;/CaseTypeID&amp;gt;        &amp;lt;CaseJudgeName&amp;gt;???? ?º???&amp;lt;/CaseJudgeName&amp;gt;        &amp;lt;CaseLinkTypeID&amp;gt;9&amp;lt;/CaseLinkTypeID&amp;gt;        &amp;lt;ProcedureID&amp;gt;2&amp;lt;/ProcedureID&amp;gt;        &amp;lt;CaseStatusID&amp;gt;1&amp;lt;/CaseStatusID&amp;gt;        &amp;lt;ProceedingID&amp;gt;5&amp;lt;/ProceedingID&amp;gt;        &amp;lt;IsCaseLinked&amp;gt;true&amp;lt;/IsCaseLinked&amp;gt;        &amp;lt;PrivilegeID&amp;gt;1&amp;lt;/PrivilegeID&amp;gt;        &amp;lt;IsAppealingCaseExist&amp;gt;false&amp;lt;/IsAppealingCaseExist&amp;gt;        &amp;lt;CaseDisplayIdentifier&amp;gt;2417-05-14&amp;lt;/CaseDisplayIdentifier&amp;gt;        &amp;lt;CaseTypeDesc&amp;gt;??&amp;quot;?&amp;lt;/CaseTypeDesc&amp;gt;        &amp;lt;CourtDesc&amp;gt;???? ?????&amp;lt;/CourtDesc&amp;gt;        &amp;lt;CaseStageDesc&amp;gt;??º ??º?????&amp;lt;/CaseStageDesc&amp;gt;        &amp;lt;CaseNextDeterminingTask&amp;gt;156&amp;lt;/CaseNextDeterminingTask&amp;gt;        &amp;lt;CaseOpenDate&amp;gt;2014-05-06T19:36:29.34+03:00&amp;lt;/CaseOpenDate&amp;gt;        &amp;lt;PleaTypeID&amp;gt;8&amp;lt;/PleaTypeID&amp;gt;        &amp;lt;CourtLevelID&amp;gt;1&amp;lt;/CourtLevelID&amp;gt;        &amp;lt;CaseJudgeFirstName&amp;gt;????&amp;lt;/CaseJudgeFirstName&amp;gt;        &amp;lt;CaseJudgeLastName&amp;gt;?º???&amp;lt;/CaseJudgeLastName&amp;gt;        &amp;lt;JudicalPersonID&amp;gt;024926933@GOV.IL&amp;lt;/JudicalPersonID&amp;gt;        &amp;lt;IsJudicalPanel&amp;gt;false&amp;lt;/IsJudicalPanel&amp;gt;        &amp;lt;CourtDisplayName&amp;gt;??? ???? ????? ??????? ??????&amp;lt;/CourtDisplayName&amp;gt;        &amp;lt;IsAllStartDataCollected&amp;gt;true&amp;lt;/IsAllStartDataCollected&amp;gt;        &amp;lt;IsMainCase&amp;gt;false&amp;lt;/IsMainCase&amp;gt;        &amp;lt;CaseDesc&amp;gt;????? ???? 16/4/15 ????? ??º? ??????? ???? ??????.???? ?.&amp;lt;/CaseDesc&amp;gt;        &amp;lt;ArchivingActivityID&amp;gt;1&amp;lt;/ArchivingActivityID&amp;gt;      &amp;lt;/CasePresentationDataSet&amp;gt;    &amp;lt;/diffgr:before&amp;gt;  &amp;lt;/diffgr:diffgram&amp;gt;&amp;lt;/CasePresentationDS&amp;gt;"/>
    <w:docVar w:name="CourtID" w:val="43"/>
    <w:docVar w:name="DecisionDS" w:val="&amp;lt;?xml version=&amp;quot;1.0&amp;quot;?&amp;gt;&amp;lt;DecisionDS&amp;gt;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    &amp;lt;xs:element name=&amp;quot;DecisionDS&amp;quot; msdata:IsDataSet=&amp;quot;true&amp;quot; msdata:Locale=&amp;quot;he-IL&amp;quot; msdata:EnforceConstraints=&amp;quot;False&amp;quot;&amp;gt;      &amp;lt;xs:complexType&amp;gt;        &amp;lt;xs:choice minOccurs=&amp;quot;0&amp;quot; maxOccurs=&amp;quot;unbounded&amp;quot;&amp;gt;          &amp;lt;xs:element name=&amp;quot;dt_Decision&amp;quot;&amp;gt;            &amp;lt;xs:complexType&amp;gt;              &amp;lt;xs:sequence&amp;gt;                &amp;lt;xs:element name=&amp;quot;DecisionID&amp;quot; msdata:ReadOnly=&amp;quot;true&amp;quot; msdata:AutoIncrement=&amp;quot;true&amp;quot; type=&amp;quot;xs:int&amp;quot; /&amp;gt;                &amp;lt;xs:element name=&amp;quot;DecisionNumber&amp;quot; type=&amp;quot;xs:int&amp;quot; minOccurs=&amp;quot;0&amp;quot; /&amp;gt;                &amp;lt;xs:element name=&amp;quot;DecisionName&amp;quot; type=&amp;quot;xs:string&amp;quot; /&amp;gt;                &amp;lt;xs:element name=&amp;quot;DecisionStatusID&amp;quot; type=&amp;quot;xs:int&amp;quot; /&amp;gt;                &amp;lt;xs:element name=&amp;quot;DecisionStatusChangeDate&amp;quot; type=&amp;quot;xs:dateTime&amp;quot; /&amp;gt;                &amp;lt;xs:element name=&amp;quot;DecisionSignatureDate&amp;quot; type=&amp;quot;xs:dateTime&amp;quot; minOccurs=&amp;quot;0&amp;quot; /&amp;gt;                &amp;lt;xs:element name=&amp;quot;DecisionSignatureUserID&amp;quot; type=&amp;quot;xs:string&amp;quot; minOccurs=&amp;quot;0&amp;quot; /&amp;gt;                &amp;lt;xs:element name=&amp;quot;DecisionCreateDate&amp;quot; type=&amp;quot;xs:dateTime&amp;quot; /&amp;gt;                &amp;lt;xs:element name=&amp;quot;DecisionChangeDate&amp;quot; type=&amp;quot;xs:dateTime&amp;quot; minOccurs=&amp;quot;0&amp;quot; /&amp;gt;                &amp;lt;xs:element name=&amp;quot;DecisionChangeUserID&amp;quot; type=&amp;quot;xs:string&amp;quot; minOccurs=&amp;quot;0&amp;quot; /&amp;gt;                &amp;lt;xs:element name=&amp;quot;DecisionDesc&amp;quot; type=&amp;quot;xs:string&amp;quot; minOccurs=&amp;quot;0&amp;quot; /&amp;gt;                &amp;lt;xs:element name=&amp;quot;IsChosenDecision&amp;quot; type=&amp;quot;xs:boolean&amp;quot; default=&amp;quot;false&amp;quot; /&amp;gt;                &amp;lt;xs:element name=&amp;quot;IsDecisionImplementationTask&amp;quot; type=&amp;quot;xs:boolean&amp;quot; default=&amp;quot;false&amp;quot; minOccurs=&amp;quot;0&amp;quot; /&amp;gt;                &amp;lt;xs:element name=&amp;quot;IsDecisionInProtocol&amp;quot; type=&amp;quot;xs:boolean&amp;quot; default=&amp;quot;false&amp;quot; /&amp;gt;                &amp;lt;xs:element name=&amp;quot;DecisionTypeID&amp;quot; type=&amp;quot;xs:int&amp;quot; /&amp;gt;                &amp;lt;xs:element name=&amp;quot;DecisionText&amp;quot; type=&amp;quot;xs:string&amp;quot; minOccurs=&amp;quot;0&amp;quot; /&amp;gt;                &amp;lt;xs:element name=&amp;quot;IsOnlyOneParty&amp;quot; type=&amp;quot;xs:boolean&amp;quot; default=&amp;quot;false&amp;quot; /&amp;gt;                &amp;lt;xs:element name=&amp;quot;IsCanceledDecision&amp;quot; type=&amp;quot;xs:boolean&amp;quot; default=&amp;quot;false&amp;quot; /&amp;gt;                &amp;lt;xs:element name=&amp;quot;DecisionLinkID&amp;quot; type=&amp;quot;xs:int&amp;quot; minOccurs=&amp;quot;0&amp;quot; /&amp;gt;                &amp;lt;xs:element name=&amp;quot;DecisionLinkTypeID&amp;quot; type=&amp;quot;xs:int&amp;quot; minOccurs=&amp;quot;0&amp;quot; /&amp;gt;                &amp;lt;xs:element name=&amp;quot;DocumentID&amp;quot; type=&amp;quot;xs:int&amp;quot; minOccurs=&amp;quot;0&amp;quot; /&amp;gt;                &amp;lt;xs:element name=&amp;quot;PrivilegeID&amp;quot; type=&amp;quot;xs:int&amp;quot; /&amp;gt;                &amp;lt;xs:element name=&amp;quot;IsDecisionConverted&amp;quot; type=&amp;quot;xs:boolean&amp;quot; default=&amp;quot;false&amp;quot; /&amp;gt;                &amp;lt;xs:element name=&amp;quot;SignatureUserTypeID&amp;quot; type=&amp;quot;xs:int&amp;quot; minOccurs=&amp;quot;0&amp;quot; /&amp;gt;                &amp;lt;xs:element name=&amp;quot;IsOpenedToSecondSide&amp;quot; type=&amp;quot;xs:boolean&amp;quot; default=&amp;quot;false&amp;quot; /&amp;gt;                &amp;lt;xs:element name=&amp;quot;IsDecisionAppeled&amp;quot; type=&amp;quot;xs:boolean&amp;quot; default=&amp;quot;false&amp;quot; /&amp;gt;                &amp;lt;xs:element name=&amp;quot;DecisionWriterID&amp;quot; type=&amp;quot;xs:string&amp;quot; minOccurs=&amp;quot;0&amp;quot; /&amp;gt;                &amp;lt;xs:element name=&amp;quot;IsInstruction&amp;quot; type=&amp;quot;xs:boolean&amp;quot; default=&amp;quot;false&amp;quot; /&amp;gt;                &amp;lt;xs:element name=&amp;quot;PreviousCaseID&amp;quot; type=&amp;quot;xs:string&amp;quot; minOccurs=&amp;quot;0&amp;quot; /&amp;gt;                &amp;lt;xs:element name=&amp;quot;IsNeedAllSignatures&amp;quot; type=&amp;quot;xs:boolean&amp;quot; default=&amp;quot;false&amp;quot; minOccurs=&amp;quot;0&amp;quot; /&amp;gt;                &amp;lt;xs:element name=&amp;quot;DecisionAttributeID&amp;quot; type=&amp;quot;xs:int&amp;quot; minOccurs=&amp;quot;0&amp;quot; /&amp;gt;                &amp;lt;xs:element name=&amp;quot;DecisionCreationUserID&amp;quot; type=&amp;quot;xs:string&amp;quot; /&amp;gt;                &amp;lt;xs:element name=&amp;quot;DecisionLinkName&amp;quot; type=&amp;quot;xs:string&amp;quot; minOccurs=&amp;quot;0&amp;quot; /&amp;gt;                &amp;lt;xs:element name=&amp;quot;DecisionLinkCaseID&amp;quot; type=&amp;quot;xs:int&amp;quot; minOccurs=&amp;quot;0&amp;quot; /&amp;gt;                &amp;lt;xs:element name=&amp;quot;DecisionDisplayName&amp;quot; type=&amp;quot;xs:string&amp;quot; minOccurs=&amp;quot;0&amp;quot; /&amp;gt;                &amp;lt;xs:element name=&amp;quot;IsScanned&amp;quot; type=&amp;quot;xs:boolean&amp;quot; minOccurs=&amp;quot;0&amp;quot; /&amp;gt;                &amp;lt;xs:element name=&amp;quot;DecisionSignatureUserName&amp;quot; type=&amp;quot;xs:string&amp;quot; minOccurs=&amp;quot;0&amp;quot; /&amp;gt;                &amp;lt;xs:element name=&amp;quot;ChangePrivilegeUserID&amp;quot; type=&amp;quot;xs:string&amp;quot; minOccurs=&amp;quot;0&amp;quot; /&amp;gt;                &amp;lt;xs:element name=&amp;quot;PublishInWebUserID&amp;quot; type=&amp;quot;xs:string&amp;quot; minOccurs=&amp;quot;0&amp;quot; /&amp;gt;                &amp;lt;xs:element name=&amp;quot;NotificationTypeID&amp;quot; type=&amp;quot;xs:int&amp;quot; default=&amp;quot;1&amp;quot; minOccurs=&amp;quot;0&amp;quot; /&amp;gt;                &amp;lt;xs:element name=&amp;quot;NotificationAuthorizeUserID&amp;quot; type=&amp;quot;xs:string&amp;quot; minOccurs=&amp;quot;0&amp;quot; /&amp;gt;                &amp;lt;xs:element name=&amp;quot;DecisionReleaseDate&amp;quot; type=&amp;quot;xs:dateTime&amp;quot; minOccurs=&amp;quot;0&amp;quot; /&amp;gt;                &amp;lt;xs:element name=&amp;quot;IsDecisionInNote&amp;quot; type=&amp;quot;xs:boolean&amp;quot; default=&amp;quot;false&amp;quot; /&amp;gt;                &amp;lt;xs:element name=&amp;quot;IsDecisionUrgency&amp;quot; type=&amp;quot;xs:boolean&amp;quot; default=&amp;quot;false&amp;quot; /&amp;gt;              &amp;lt;/xs:sequence&amp;gt;            &amp;lt;/xs:complexType&amp;gt;          &amp;lt;/xs:element&amp;gt;          &amp;lt;xs:element name=&amp;quot;dt_DecisionCase&amp;quot;&amp;gt;            &amp;lt;xs:complexType&amp;gt;              &amp;lt;xs:sequence&amp;gt;                &amp;lt;xs:element name=&amp;quot;DecisionID&amp;quot; type=&amp;quot;xs:int&amp;quot; /&amp;gt;                &amp;lt;xs:element name=&amp;quot;CaseID&amp;quot; type=&amp;quot;xs:int&amp;quot; /&amp;gt;                &amp;lt;xs:element name=&amp;quot;IsOriginal&amp;quot; type=&amp;quot;xs:boolean&amp;quot; default=&amp;quot;false&amp;quot; minOccurs=&amp;quot;0&amp;quot; /&amp;gt;                &amp;lt;xs:element name=&amp;quot;IsDeleted&amp;quot; type=&amp;quot;xs:boolean&amp;quot; default=&amp;quot;false&amp;quot; /&amp;gt;                &amp;lt;xs:element name=&amp;quot;CaseLinkTypeID&amp;quot; type=&amp;quot;xs:int&amp;quot; minOccurs=&amp;quot;0&amp;quot; /&amp;gt;                &amp;lt;xs:element name=&amp;quot;CaseName&amp;quot; type=&amp;quot;xs:string&amp;quot; minOccurs=&amp;quot;0&amp;quot; /&amp;gt;                &amp;lt;xs:element name=&amp;quot;CaseDisplayIdentifier&amp;quot; type=&amp;quot;xs:string&amp;quot; minOccurs=&amp;quot;0&amp;quot; /&amp;gt;              &amp;lt;/xs:sequence&amp;gt;            &amp;lt;/xs:complexType&amp;gt;          &amp;lt;/xs:element&amp;gt;          &amp;lt;xs:element name=&amp;quot;dt_DecisionMotion&amp;quot;&amp;gt;            &amp;lt;xs:complexType&amp;gt;              &amp;lt;xs:sequence&amp;gt;                &amp;lt;xs:element name=&amp;quot;DecisionID&amp;quot; type=&amp;quot;xs:int&amp;quot; /&amp;gt;                &amp;lt;xs:element name=&amp;quot;MotionID&amp;quot; type=&amp;quot;xs:int&amp;quot; /&amp;gt;                &amp;lt;xs:element name=&amp;quot;DecisionResultID&amp;quot; type=&amp;quot;xs:int&amp;quot; minOccurs=&amp;quot;0&amp;quot; /&amp;gt;                &amp;lt;xs:element name=&amp;quot;IsOriginalMotion&amp;quot; type=&amp;quot;xs:boolean&amp;quot; default=&amp;quot;false&amp;quot; minOccurs=&amp;quot;0&amp;quot; /&amp;gt;                &amp;lt;xs:element name=&amp;quot;MotionName&amp;quot; type=&amp;quot;xs:string&amp;quot; minOccurs=&amp;quot;0&amp;quot; /&amp;gt;                &amp;lt;xs:element name=&amp;quot;MotionOpenDate&amp;quot; type=&amp;quot;xs:dateTime&amp;quot; minOccurs=&amp;quot;0&amp;quot; /&amp;gt;                &amp;lt;xs:element name=&amp;quot;CaseID&amp;quot; type=&amp;quot;xs:int&amp;quot; minOccurs=&amp;quot;0&amp;quot; /&amp;gt;                &amp;lt;xs:element name=&amp;quot;CaseDisplayIdentifier&amp;quot; type=&amp;quot;xs:string&amp;quot; minOccurs=&amp;quot;0&amp;quot; /&amp;gt;                &amp;lt;xs:element name=&amp;quot;ProcessNumber&amp;quot; type=&amp;quot;xs:int&amp;quot; minOccurs=&amp;quot;0&amp;quot; /&amp;gt;              &amp;lt;/xs:sequence&amp;gt;            &amp;lt;/xs:complexType&amp;gt;          &amp;lt;/xs:element&amp;gt;          &amp;lt;xs:element name=&amp;quot;dt_DecisionProtocol&amp;quot;&amp;gt;            &amp;lt;xs:complexType&amp;gt;              &amp;lt;xs:sequence&amp;gt;                &amp;lt;xs:element name=&amp;quot;DecisionID&amp;quot; type=&amp;quot;xs:int&amp;quot; /&amp;gt;                &amp;lt;xs:element name=&amp;quot;ProtocolID&amp;quot; type=&amp;quot;xs:int&amp;quot; /&amp;gt;                &amp;lt;xs:element name=&amp;quot;ProtocolEventID&amp;quot; type=&amp;quot;xs:int&amp;quot; /&amp;gt;              &amp;lt;/xs:sequence&amp;gt;            &amp;lt;/xs:complexType&amp;gt;          &amp;lt;/xs:element&amp;gt;          &amp;lt;xs:element name=&amp;quot;dt_DecisionJudgePanel&amp;quot;&amp;gt;            &amp;lt;xs:complexType&amp;gt;              &amp;lt;xs:sequence&amp;gt;                &amp;lt;xs:element name=&amp;quot;DecisionID&amp;quot; type=&amp;quot;xs:int&amp;quot; /&amp;gt;                &amp;lt;xs:element name=&amp;quot;JudgeID&amp;quot; type=&amp;quot;xs:string&amp;quot; /&amp;gt;                &amp;lt;xs:element name=&amp;quot;DocumentSendDate&amp;quot; type=&amp;quot;xs:dateTime&amp;quot; minOccurs=&amp;quot;0&amp;quot; /&amp;gt;                &amp;lt;xs:element name=&amp;quot;FinalDate&amp;quot; type=&amp;quot;xs:dateTime&amp;quot; minOccurs=&amp;quot;0&amp;quot; /&amp;gt;                &amp;lt;xs:element name=&amp;quot;SignatureDate&amp;quot; type=&amp;quot;xs:dateTime&amp;quot; minOccurs=&amp;quot;0&amp;quot; /&amp;gt;                &amp;lt;xs:element name=&amp;quot;DocumentID&amp;quot; type=&amp;quot;xs:int&amp;quot; minOccurs=&amp;quot;0&amp;quot; /&amp;gt;                &amp;lt;xs:element name=&amp;quot;DecisionOpinionDate&amp;quot; type=&amp;quot;xs:dateTime&amp;quot; minOccurs=&amp;quot;0&amp;quot; /&amp;gt;                &amp;lt;xs:element name=&amp;quot;WriterViewedDraftDate&amp;quot; type=&amp;quot;xs:dateTime&amp;quot; minOccurs=&amp;quot;0&amp;quot; /&amp;gt;                &amp;lt;xs:element name=&amp;quot;IsNeedAllSignatures&amp;quot; type=&amp;quot;xs:boolean&amp;quot; minOccurs=&amp;quot;0&amp;quot; /&amp;gt;                &amp;lt;xs:element name=&amp;quot;DocumentIDNotes&amp;quot; type=&amp;quot;xs:int&amp;quot; minOccurs=&amp;quot;0&amp;quot; /&amp;gt;                &amp;lt;xs:element name=&amp;quot;OrdinalNumber&amp;quot; type=&amp;quot;xs:int&amp;quot; minOccurs=&amp;quot;0&amp;quot; /&amp;gt;              &amp;lt;/xs:sequence&amp;gt;            &amp;lt;/xs:complexType&amp;gt;          &amp;lt;/xs:element&amp;gt;          &amp;lt;xs:element name=&amp;quot;dt_Attachments&amp;quot;&amp;gt;            &amp;lt;xs:complexType&amp;gt;              &amp;lt;xs:sequence&amp;gt;                &amp;lt;xs:element name=&amp;quot;DocumentID&amp;quot; type=&amp;quot;xs:int&amp;quot; minOccurs=&amp;quot;0&amp;quot; /&amp;gt;                &amp;lt;xs:element name=&amp;quot;DocumentStatusChangeDate&amp;quot; type=&amp;quot;xs:dateTime&amp;quot; minOccurs=&amp;quot;0&amp;quot; /&amp;gt;                &amp;lt;xs:element name=&amp;quot;DocumentDesc&amp;quot; type=&amp;quot;xs:string&amp;quot; minOccurs=&amp;quot;0&amp;quot; /&amp;gt;                &amp;lt;xs:element name=&amp;quot;DocumentMainID&amp;quot; type=&amp;quot;xs:int&amp;quot; minOccurs=&amp;quot;0&amp;quot; /&amp;gt;              &amp;lt;/xs:sequence&amp;gt;            &amp;lt;/xs:complexType&amp;gt;          &amp;lt;/xs:element&amp;gt;        &amp;lt;/xs:choice&amp;gt;      &amp;lt;/xs:complexType&amp;gt;      &amp;lt;xs:unique name=&amp;quot;DecisionDSKey1&amp;quot; msdata:PrimaryKey=&amp;quot;true&amp;quot;&amp;gt;        &amp;lt;xs:selector xpath=&amp;quot;.//mstns:dt_Decision&amp;quot; /&amp;gt;        &amp;lt;xs:field xpath=&amp;quot;mstns:DecisionID&amp;quot; /&amp;gt;      &amp;lt;/xs:unique&amp;gt;      &amp;lt;xs:unique name=&amp;quot;DecisionDSKey2&amp;quot; msdata:PrimaryKey=&amp;quot;true&amp;quot;&amp;gt;        &amp;lt;xs:selector xpath=&amp;quot;.//mstns:dt_DecisionCase&amp;quot; /&amp;gt;        &amp;lt;xs:field xpath=&amp;quot;mstns:DecisionID&amp;quot; /&amp;gt;        &amp;lt;xs:field xpath=&amp;quot;mstns:CaseID&amp;quot; /&amp;gt;      &amp;lt;/xs:unique&amp;gt;      &amp;lt;xs:unique name=&amp;quot;DecisionDSKey3&amp;quot; msdata:PrimaryKey=&amp;quot;true&amp;quot;&amp;gt;        &amp;lt;xs:selector xpath=&amp;quot;.//mstns:dt_DecisionMotion&amp;quot; /&amp;gt;        &amp;lt;xs:field xpath=&amp;quot;mstns:DecisionID&amp;quot; /&amp;gt;        &amp;lt;xs:field xpath=&amp;quot;mstns:MotionID&amp;quot; /&amp;gt;      &amp;lt;/xs:unique&amp;gt;      &amp;lt;xs:unique name=&amp;quot;DecisionDSKey4&amp;quot; msdata:PrimaryKey=&amp;quot;true&amp;quot;&amp;gt;        &amp;lt;xs:selector xpath=&amp;quot;.//mstns:dt_DecisionProtocol&amp;quot; /&amp;gt;        &amp;lt;xs:field xpath=&amp;quot;mstns:DecisionID&amp;quot; /&amp;gt;        &amp;lt;xs:field xpath=&amp;quot;mstns:ProtocolID&amp;quot; /&amp;gt;        &amp;lt;xs:field xpath=&amp;quot;mstns:ProtocolEventID&amp;quot; /&amp;gt;      &amp;lt;/xs:unique&amp;gt;      &amp;lt;xs:unique name=&amp;quot;DecisionDSKey10&amp;quot; msdata:PrimaryKey=&amp;quot;true&amp;quot;&amp;gt;        &amp;lt;xs:selector xpath=&amp;quot;.//mstns:dt_DecisionJudgePanel&amp;quot; /&amp;gt;        &amp;lt;xs:field xpath=&amp;quot;mstns:DecisionID&amp;quot; /&amp;gt;        &amp;lt;xs:field xpath=&amp;quot;mstns:JudgeID&amp;quot; /&amp;gt;      &amp;lt;/xs:unique&amp;gt;      &amp;lt;xs:keyref name=&amp;quot;dt_Decisiondt_DecisionJudgePanel&amp;quot; refer=&amp;quot;DecisionDSKey1&amp;quot;&amp;gt;        &amp;lt;xs:selector xpath=&amp;quot;.//mstns:dt_DecisionJudgePanel&amp;quot; /&amp;gt;        &amp;lt;xs:field xpath=&amp;quot;mstns:DecisionID&amp;quot; /&amp;gt;      &amp;lt;/xs:keyref&amp;gt;      &amp;lt;xs:keyref name=&amp;quot;dt_Decisiondt_DecisionProtocol&amp;quot; refer=&amp;quot;DecisionDSKey1&amp;quot;&amp;gt;        &amp;lt;xs:selector xpath=&amp;quot;.//mstns:dt_DecisionProtocol&amp;quot; /&amp;gt;        &amp;lt;xs:field xpath=&amp;quot;mstns:DecisionID&amp;quot; /&amp;gt;      &amp;lt;/xs:keyref&amp;gt;      &amp;lt;xs:keyref name=&amp;quot;dt_Decisiondt_DecisionMotion&amp;quot; refer=&amp;quot;DecisionDSKey1&amp;quot;&amp;gt;        &amp;lt;xs:selector xpath=&amp;quot;.//mstns:dt_DecisionMotion&amp;quot; /&amp;gt;        &amp;lt;xs:field xpath=&amp;quot;mstns:DecisionID&amp;quot; /&amp;gt;      &amp;lt;/xs:keyref&amp;gt;      &amp;lt;xs:keyref name=&amp;quot;dt_Decisiondt_DecisionCase&amp;quot; refer=&amp;quot;DecisionDSKey1&amp;quot;&amp;gt;        &amp;lt;xs:selector xpath=&amp;quot;.//mstns:dt_DecisionCase&amp;quot; /&amp;gt;        &amp;lt;xs:field xpath=&amp;quot;mstns:DecisionID&amp;quot; /&amp;gt;      &amp;lt;/xs:keyref&amp;gt;    &amp;lt;/xs:element&amp;gt;  &amp;lt;/xs:schema&amp;gt;  &amp;lt;diffgr:diffgram xmlns:msdata=&amp;quot;urn:schemas-microsoft-com:xml-msdata&amp;quot; xmlns:diffgr=&amp;quot;urn:schemas-microsoft-com:xml-diffgram-v1&amp;quot;&amp;gt;    &amp;lt;DecisionDS xmlns=&amp;quot;http://www.tempuri.org/DecisionDS.xsd&amp;quot;&amp;gt;      &amp;lt;dt_Decision diffgr:id=&amp;quot;dt_Decision1&amp;quot; msdata:rowOrder=&amp;quot;0&amp;quot; diffgr:hasChanges=&amp;quot;inserted&amp;quot;&amp;gt;        &amp;lt;DecisionID&amp;gt;0&amp;lt;/DecisionID&amp;gt;        &amp;lt;DecisionStatusID&amp;gt;1&amp;lt;/DecisionStatusID&amp;gt;        &amp;lt;DecisionStatusChangeDate&amp;gt;2015-05-03T20:39:50.836592+03:00&amp;lt;/DecisionStatusChangeDate&amp;gt;        &amp;lt;DecisionSignatureDate&amp;gt;2015-05-03T20:39:50.836592+03:00&amp;lt;/DecisionSignatureDate&amp;gt;        &amp;lt;DecisionSignatureUserID&amp;gt;024926933@GOV.IL&amp;lt;/DecisionSignatureUserID&amp;gt;        &amp;lt;DecisionCreateDate&amp;gt;2015-05-03T20:39:50.836592+03:00&amp;lt;/DecisionCreateDate&amp;gt;        &amp;lt;DecisionChangeDate&amp;gt;2015-05-03T20:39:50.836592+03:00&amp;lt;/DecisionChangeDate&amp;gt;        &amp;lt;DecisionChangeUserID&amp;gt;024926933@GOV.IL&amp;lt;/DecisionChangeUserID&amp;gt;        &amp;lt;IsChosenDecision&amp;gt;false&amp;lt;/IsChosenDecision&amp;gt;        &amp;lt;IsDecisionImplementationTask&amp;gt;true&amp;lt;/IsDecisionImplementationTask&amp;gt;        &amp;lt;IsDecisionInProtocol&amp;gt;false&amp;lt;/IsDecisionInProtocol&amp;gt;        &amp;lt;DecisionTypeID&amp;gt;1&amp;lt;/DecisionTypeID&amp;gt;        &amp;lt;IsOnlyOneParty&amp;gt;false&amp;lt;/IsOnlyOneParty&amp;gt;        &amp;lt;IsCanceledDecision&amp;gt;false&amp;lt;/IsCanceledDecision&amp;gt;        &amp;lt;PrivilegeID&amp;gt;1&amp;lt;/PrivilegeID&amp;gt;        &amp;lt;IsDecisionConverted&amp;gt;false&amp;lt;/IsDecisionConverted&amp;gt;        &amp;lt;IsOpenedToSecondSide&amp;gt;false&amp;lt;/IsOpenedToSecondSide&amp;gt;        &amp;lt;IsDecisionAppeled&amp;gt;false&amp;lt;/IsDecisionAppeled&amp;gt;        &amp;lt;DecisionWriterID&amp;gt;024926933@GOV.IL&amp;lt;/DecisionWriterID&amp;gt;        &amp;lt;IsInstruction&amp;gt;false&amp;lt;/IsInstruction&amp;gt;        &amp;lt;IsNeedAllSignatures&amp;gt;false&amp;lt;/IsNeedAllSignatures&amp;gt;        &amp;lt;DecisionAttributeID&amp;gt;1&amp;lt;/DecisionAttributeID&amp;gt;        &amp;lt;DecisionCreationUserID&amp;gt;024926933@GOV.IL&amp;lt;/DecisionCreationUserID&amp;gt;        &amp;lt;NotificationTypeID&amp;gt;1&amp;lt;/NotificationTypeID&amp;gt;        &amp;lt;IsDecisionInNote&amp;gt;false&amp;lt;/IsDecisionInNote&amp;gt;        &amp;lt;IsDecisionUrgency&amp;gt;false&amp;lt;/IsDecisionUrgency&amp;gt;      &amp;lt;/dt_Decision&amp;gt;      &amp;lt;dt_DecisionCase diffgr:id=&amp;quot;dt_DecisionCase1&amp;quot; msdata:rowOrder=&amp;quot;0&amp;quot; diffgr:hasChanges=&amp;quot;inserted&amp;quot;&amp;gt;        &amp;lt;DecisionID&amp;gt;0&amp;lt;/DecisionID&amp;gt;        &amp;lt;CaseID&amp;gt;71865140&amp;lt;/CaseID&amp;gt;        &amp;lt;IsOriginal&amp;gt;true&amp;lt;/IsOriginal&amp;gt;        &amp;lt;IsDeleted&amp;gt;false&amp;lt;/IsDeleted&amp;gt;      &amp;lt;/dt_DecisionCase&amp;gt;    &amp;lt;/DecisionDS&amp;gt;  &amp;lt;/diffgr:diffgram&amp;gt;&amp;lt;/DecisionDS&amp;gt;"/>
    <w:docVar w:name="NGCS.TemplateCaseInterestID" w:val="-1"/>
    <w:docVar w:name="NGCS.TemplateCaseTypeID" w:val="10054"/>
    <w:docVar w:name="NGCS.TemplateCategoryID" w:val="80"/>
    <w:docVar w:name="NGCS.TemplateCourtID" w:val="43"/>
    <w:docVar w:name="NGCS.TemplateProceedingID" w:val="5"/>
    <w:docVar w:name="WordClientAssemblyName" w:val="NGCS.Decision.ClientWordBL"/>
    <w:docVar w:name="WordClientClassName" w:val="NGCS.Decision.ClientWordBL.DecisionClient"/>
  </w:docVars>
  <w:rsids>
    <w:rsidRoot w:val="00694556"/>
    <w:rsid w:val="00000062"/>
    <w:rsid w:val="0000226B"/>
    <w:rsid w:val="00005C8B"/>
    <w:rsid w:val="000564AB"/>
    <w:rsid w:val="00064FBD"/>
    <w:rsid w:val="00082AB2"/>
    <w:rsid w:val="000906FE"/>
    <w:rsid w:val="00096AF7"/>
    <w:rsid w:val="000B344B"/>
    <w:rsid w:val="000C3B0F"/>
    <w:rsid w:val="000C3B60"/>
    <w:rsid w:val="000E0DD2"/>
    <w:rsid w:val="000E3AF1"/>
    <w:rsid w:val="000F0BC8"/>
    <w:rsid w:val="000F0DD6"/>
    <w:rsid w:val="00107E6D"/>
    <w:rsid w:val="0011194C"/>
    <w:rsid w:val="0011424C"/>
    <w:rsid w:val="001177DC"/>
    <w:rsid w:val="001367BC"/>
    <w:rsid w:val="00144D2A"/>
    <w:rsid w:val="0014653E"/>
    <w:rsid w:val="00180519"/>
    <w:rsid w:val="00191C82"/>
    <w:rsid w:val="001C17AD"/>
    <w:rsid w:val="001C4003"/>
    <w:rsid w:val="001D4DBF"/>
    <w:rsid w:val="001E75CA"/>
    <w:rsid w:val="002265FF"/>
    <w:rsid w:val="002623CC"/>
    <w:rsid w:val="00271B56"/>
    <w:rsid w:val="0028217D"/>
    <w:rsid w:val="002A0235"/>
    <w:rsid w:val="002C344E"/>
    <w:rsid w:val="002E75E9"/>
    <w:rsid w:val="00307A6A"/>
    <w:rsid w:val="00307C40"/>
    <w:rsid w:val="00320433"/>
    <w:rsid w:val="003230C7"/>
    <w:rsid w:val="00327E50"/>
    <w:rsid w:val="0033597A"/>
    <w:rsid w:val="00362612"/>
    <w:rsid w:val="0036743F"/>
    <w:rsid w:val="003715DD"/>
    <w:rsid w:val="003823E0"/>
    <w:rsid w:val="003A4521"/>
    <w:rsid w:val="003D1C8C"/>
    <w:rsid w:val="0040096C"/>
    <w:rsid w:val="00414F1F"/>
    <w:rsid w:val="0043125D"/>
    <w:rsid w:val="0043502B"/>
    <w:rsid w:val="0044309D"/>
    <w:rsid w:val="004443AC"/>
    <w:rsid w:val="00451E28"/>
    <w:rsid w:val="00462C62"/>
    <w:rsid w:val="00465D36"/>
    <w:rsid w:val="004C4BDF"/>
    <w:rsid w:val="004D1187"/>
    <w:rsid w:val="004E1987"/>
    <w:rsid w:val="004E2E15"/>
    <w:rsid w:val="004E6E3C"/>
    <w:rsid w:val="00520898"/>
    <w:rsid w:val="00523621"/>
    <w:rsid w:val="00524986"/>
    <w:rsid w:val="005268F6"/>
    <w:rsid w:val="00547DB7"/>
    <w:rsid w:val="005C7026"/>
    <w:rsid w:val="005F4F09"/>
    <w:rsid w:val="0061431B"/>
    <w:rsid w:val="00622BAA"/>
    <w:rsid w:val="006306CF"/>
    <w:rsid w:val="00644E9A"/>
    <w:rsid w:val="00671BD5"/>
    <w:rsid w:val="006805C1"/>
    <w:rsid w:val="00686C21"/>
    <w:rsid w:val="006931C1"/>
    <w:rsid w:val="00694556"/>
    <w:rsid w:val="006C30C5"/>
    <w:rsid w:val="006D3B31"/>
    <w:rsid w:val="006E0D96"/>
    <w:rsid w:val="006E1A53"/>
    <w:rsid w:val="00704EDA"/>
    <w:rsid w:val="00721122"/>
    <w:rsid w:val="00753019"/>
    <w:rsid w:val="00754801"/>
    <w:rsid w:val="00795365"/>
    <w:rsid w:val="007A351D"/>
    <w:rsid w:val="007B7765"/>
    <w:rsid w:val="007D45E3"/>
    <w:rsid w:val="007E6115"/>
    <w:rsid w:val="007F4609"/>
    <w:rsid w:val="008176A1"/>
    <w:rsid w:val="00820005"/>
    <w:rsid w:val="00844318"/>
    <w:rsid w:val="00870890"/>
    <w:rsid w:val="00873602"/>
    <w:rsid w:val="00875D12"/>
    <w:rsid w:val="0088479D"/>
    <w:rsid w:val="00896889"/>
    <w:rsid w:val="008C5714"/>
    <w:rsid w:val="008D10B2"/>
    <w:rsid w:val="00903896"/>
    <w:rsid w:val="00906F3D"/>
    <w:rsid w:val="0094424E"/>
    <w:rsid w:val="009622DF"/>
    <w:rsid w:val="00967DFF"/>
    <w:rsid w:val="00994341"/>
    <w:rsid w:val="009D1A48"/>
    <w:rsid w:val="009E1CE7"/>
    <w:rsid w:val="009F164B"/>
    <w:rsid w:val="009F323C"/>
    <w:rsid w:val="00A3392B"/>
    <w:rsid w:val="00A94B64"/>
    <w:rsid w:val="00AA3229"/>
    <w:rsid w:val="00AA6CC6"/>
    <w:rsid w:val="00AA7596"/>
    <w:rsid w:val="00AB5E52"/>
    <w:rsid w:val="00AC3B02"/>
    <w:rsid w:val="00AC3B7B"/>
    <w:rsid w:val="00AC5209"/>
    <w:rsid w:val="00AE7752"/>
    <w:rsid w:val="00AF7FDA"/>
    <w:rsid w:val="00B13EA2"/>
    <w:rsid w:val="00B809AD"/>
    <w:rsid w:val="00B80CBD"/>
    <w:rsid w:val="00B86096"/>
    <w:rsid w:val="00BA0A7C"/>
    <w:rsid w:val="00BA517C"/>
    <w:rsid w:val="00BB3D05"/>
    <w:rsid w:val="00BB73BE"/>
    <w:rsid w:val="00BC2D89"/>
    <w:rsid w:val="00BD6531"/>
    <w:rsid w:val="00BE05B2"/>
    <w:rsid w:val="00BF1908"/>
    <w:rsid w:val="00C22D93"/>
    <w:rsid w:val="00C31120"/>
    <w:rsid w:val="00C34482"/>
    <w:rsid w:val="00C43648"/>
    <w:rsid w:val="00C50A9F"/>
    <w:rsid w:val="00C642FA"/>
    <w:rsid w:val="00CC7622"/>
    <w:rsid w:val="00CD125A"/>
    <w:rsid w:val="00D27982"/>
    <w:rsid w:val="00D33B86"/>
    <w:rsid w:val="00D53924"/>
    <w:rsid w:val="00D55D0C"/>
    <w:rsid w:val="00D96D8C"/>
    <w:rsid w:val="00DA6649"/>
    <w:rsid w:val="00DC1259"/>
    <w:rsid w:val="00DC1BD2"/>
    <w:rsid w:val="00DC2571"/>
    <w:rsid w:val="00DC487C"/>
    <w:rsid w:val="00DE6BF6"/>
    <w:rsid w:val="00E1068A"/>
    <w:rsid w:val="00E25884"/>
    <w:rsid w:val="00E31C2B"/>
    <w:rsid w:val="00E5426A"/>
    <w:rsid w:val="00E54642"/>
    <w:rsid w:val="00E859BE"/>
    <w:rsid w:val="00E962E3"/>
    <w:rsid w:val="00EB6C79"/>
    <w:rsid w:val="00EC37E9"/>
    <w:rsid w:val="00F06995"/>
    <w:rsid w:val="00F13623"/>
    <w:rsid w:val="00F84B6D"/>
    <w:rsid w:val="00FA5FDA"/>
    <w:rsid w:val="00FD1419"/>
    <w:rsid w:val="00FD79E4"/>
    <w:rsid w:val="00FE2894"/>
    <w:rsid w:val="00FF6C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David"/>
      <w:noProof/>
      <w:sz w:val="24"/>
      <w:szCs w:val="24"/>
    </w:rPr>
  </w:style>
  <w:style w:type="paragraph" w:styleId="4">
    <w:name w:val="heading 4"/>
    <w:basedOn w:val="a"/>
    <w:next w:val="a"/>
    <w:link w:val="40"/>
    <w:uiPriority w:val="99"/>
    <w:qFormat/>
    <w:pPr>
      <w:keepNext/>
      <w:ind w:left="5760" w:firstLine="720"/>
      <w:outlineLvl w:val="3"/>
    </w:pPr>
    <w:rPr>
      <w:rFonts w:cs="Narkisim"/>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link w:val="4"/>
    <w:uiPriority w:val="9"/>
    <w:semiHidden/>
    <w:rsid w:val="00B062F3"/>
    <w:rPr>
      <w:rFonts w:ascii="Calibri" w:eastAsia="Times New Roman" w:hAnsi="Calibri" w:cs="Arial"/>
      <w:b/>
      <w:bCs/>
      <w:noProof/>
      <w:sz w:val="28"/>
      <w:szCs w:val="28"/>
    </w:rPr>
  </w:style>
  <w:style w:type="paragraph" w:styleId="a3">
    <w:name w:val="header"/>
    <w:basedOn w:val="a"/>
    <w:link w:val="a4"/>
    <w:uiPriority w:val="99"/>
    <w:pPr>
      <w:tabs>
        <w:tab w:val="center" w:pos="4153"/>
        <w:tab w:val="right" w:pos="8306"/>
      </w:tabs>
    </w:pPr>
  </w:style>
  <w:style w:type="character" w:customStyle="1" w:styleId="a4">
    <w:name w:val="כותרת עליונה תו"/>
    <w:link w:val="a3"/>
    <w:uiPriority w:val="99"/>
    <w:semiHidden/>
    <w:rsid w:val="00B062F3"/>
    <w:rPr>
      <w:rFonts w:cs="David"/>
      <w:noProof/>
      <w:sz w:val="24"/>
      <w:szCs w:val="24"/>
    </w:rPr>
  </w:style>
  <w:style w:type="paragraph" w:styleId="a5">
    <w:name w:val="footer"/>
    <w:basedOn w:val="a"/>
    <w:link w:val="a6"/>
    <w:uiPriority w:val="99"/>
    <w:pPr>
      <w:tabs>
        <w:tab w:val="center" w:pos="4153"/>
        <w:tab w:val="right" w:pos="8306"/>
      </w:tabs>
    </w:pPr>
  </w:style>
  <w:style w:type="character" w:customStyle="1" w:styleId="a6">
    <w:name w:val="כותרת תחתונה תו"/>
    <w:link w:val="a5"/>
    <w:uiPriority w:val="99"/>
    <w:semiHidden/>
    <w:rsid w:val="00B062F3"/>
    <w:rPr>
      <w:rFonts w:cs="David"/>
      <w:noProof/>
      <w:sz w:val="24"/>
      <w:szCs w:val="24"/>
    </w:rPr>
  </w:style>
  <w:style w:type="paragraph" w:customStyle="1" w:styleId="a7">
    <w:name w:val="סעיפים"/>
    <w:basedOn w:val="a"/>
    <w:uiPriority w:val="99"/>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8">
    <w:name w:val="annotation text"/>
    <w:basedOn w:val="a"/>
    <w:link w:val="a9"/>
    <w:uiPriority w:val="99"/>
    <w:semiHidden/>
    <w:rPr>
      <w:rFonts w:cs="Times New Roman"/>
      <w:noProof w:val="0"/>
    </w:rPr>
  </w:style>
  <w:style w:type="character" w:customStyle="1" w:styleId="a9">
    <w:name w:val="טקסט הערה תו"/>
    <w:link w:val="a8"/>
    <w:uiPriority w:val="99"/>
    <w:semiHidden/>
    <w:rsid w:val="00B062F3"/>
    <w:rPr>
      <w:rFonts w:cs="David"/>
      <w:noProof/>
      <w:sz w:val="20"/>
      <w:szCs w:val="20"/>
    </w:rPr>
  </w:style>
  <w:style w:type="character" w:styleId="aa">
    <w:name w:val="annotation reference"/>
    <w:uiPriority w:val="99"/>
    <w:semiHidden/>
    <w:rPr>
      <w:rFonts w:cs="Times New Roman"/>
      <w:sz w:val="16"/>
      <w:szCs w:val="16"/>
    </w:rPr>
  </w:style>
  <w:style w:type="paragraph" w:styleId="ab">
    <w:name w:val="Balloon Text"/>
    <w:basedOn w:val="a"/>
    <w:link w:val="ac"/>
    <w:uiPriority w:val="99"/>
    <w:semiHidden/>
    <w:rPr>
      <w:rFonts w:ascii="Tahoma" w:hAnsi="Tahoma" w:cs="Tahoma"/>
      <w:sz w:val="16"/>
      <w:szCs w:val="16"/>
    </w:rPr>
  </w:style>
  <w:style w:type="character" w:customStyle="1" w:styleId="ac">
    <w:name w:val="טקסט בלונים תו"/>
    <w:link w:val="ab"/>
    <w:uiPriority w:val="99"/>
    <w:semiHidden/>
    <w:rsid w:val="00B062F3"/>
    <w:rPr>
      <w:noProof/>
      <w:sz w:val="0"/>
      <w:szCs w:val="0"/>
    </w:rPr>
  </w:style>
  <w:style w:type="table" w:styleId="ad">
    <w:name w:val="Table Grid"/>
    <w:basedOn w:val="a1"/>
    <w:uiPriority w:val="9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uiPriority w:val="99"/>
    <w:rPr>
      <w:rFonts w:cs="Times New Roman"/>
    </w:rPr>
  </w:style>
  <w:style w:type="character" w:styleId="af">
    <w:name w:val="page number"/>
    <w:uiPriority w:val="99"/>
    <w:rPr>
      <w:rFonts w:cs="Times New Roman"/>
    </w:rPr>
  </w:style>
  <w:style w:type="table" w:customStyle="1" w:styleId="1">
    <w:name w:val="טבלת רשת1"/>
    <w:uiPriority w:val="9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uiPriority w:val="99"/>
    <w:semiHidden/>
    <w:rsid w:val="003230C7"/>
    <w:rPr>
      <w:rFonts w:cs="Times New Roman"/>
      <w:color w:val="808080"/>
    </w:rPr>
  </w:style>
  <w:style w:type="paragraph" w:styleId="af1">
    <w:name w:val="List Paragraph"/>
    <w:basedOn w:val="a"/>
    <w:uiPriority w:val="99"/>
    <w:qFormat/>
    <w:rsid w:val="002623CC"/>
    <w:pPr>
      <w:spacing w:after="200" w:line="276" w:lineRule="auto"/>
      <w:ind w:left="720"/>
    </w:pPr>
    <w:rPr>
      <w:rFonts w:ascii="Calibri" w:hAnsi="Calibri" w:cs="Arial"/>
      <w:noProof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92425">
      <w:marLeft w:val="0"/>
      <w:marRight w:val="0"/>
      <w:marTop w:val="0"/>
      <w:marBottom w:val="0"/>
      <w:divBdr>
        <w:top w:val="none" w:sz="0" w:space="0" w:color="auto"/>
        <w:left w:val="none" w:sz="0" w:space="0" w:color="auto"/>
        <w:bottom w:val="none" w:sz="0" w:space="0" w:color="auto"/>
        <w:right w:val="none" w:sz="0" w:space="0" w:color="auto"/>
      </w:divBdr>
    </w:div>
    <w:div w:id="1036392426">
      <w:marLeft w:val="0"/>
      <w:marRight w:val="0"/>
      <w:marTop w:val="0"/>
      <w:marBottom w:val="0"/>
      <w:divBdr>
        <w:top w:val="none" w:sz="0" w:space="0" w:color="auto"/>
        <w:left w:val="none" w:sz="0" w:space="0" w:color="auto"/>
        <w:bottom w:val="none" w:sz="0" w:space="0" w:color="auto"/>
        <w:right w:val="none" w:sz="0" w:space="0" w:color="auto"/>
      </w:divBdr>
    </w:div>
    <w:div w:id="1036392427">
      <w:marLeft w:val="0"/>
      <w:marRight w:val="0"/>
      <w:marTop w:val="0"/>
      <w:marBottom w:val="0"/>
      <w:divBdr>
        <w:top w:val="none" w:sz="0" w:space="0" w:color="auto"/>
        <w:left w:val="none" w:sz="0" w:space="0" w:color="auto"/>
        <w:bottom w:val="none" w:sz="0" w:space="0" w:color="auto"/>
        <w:right w:val="none" w:sz="0" w:space="0" w:color="auto"/>
      </w:divBdr>
    </w:div>
    <w:div w:id="1036392428">
      <w:marLeft w:val="0"/>
      <w:marRight w:val="0"/>
      <w:marTop w:val="0"/>
      <w:marBottom w:val="0"/>
      <w:divBdr>
        <w:top w:val="none" w:sz="0" w:space="0" w:color="auto"/>
        <w:left w:val="none" w:sz="0" w:space="0" w:color="auto"/>
        <w:bottom w:val="none" w:sz="0" w:space="0" w:color="auto"/>
        <w:right w:val="none" w:sz="0" w:space="0" w:color="auto"/>
      </w:divBdr>
    </w:div>
    <w:div w:id="1036392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3818</TotalTime>
  <Pages>6</Pages>
  <Words>1480</Words>
  <Characters>7405</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lpstr>
    </vt:vector>
  </TitlesOfParts>
  <Company>Microsoft Corporation</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anatk</dc:creator>
  <cp:keywords/>
  <dc:description/>
  <cp:lastModifiedBy>Kolker1</cp:lastModifiedBy>
  <cp:revision>3</cp:revision>
  <cp:lastPrinted>2015-08-06T14:36:00Z</cp:lastPrinted>
  <dcterms:created xsi:type="dcterms:W3CDTF">2015-07-29T09:33:00Z</dcterms:created>
  <dcterms:modified xsi:type="dcterms:W3CDTF">2015-08-09T06:13:00Z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C:\Program Files\NGCS\NGCS.Common.WordTemplate.vsto|a6b55e7c-583a-4154-845d-901f18a53e62|vstolocal</vt:lpwstr>
  </property>
  <property fmtid="{D5CDD505-2E9C-101B-9397-08002B2CF9AE}" pid="3" name="_AssemblyName">
    <vt:lpwstr>4E3C66D5-58D4-491E-A7D4-64AF99AF6E8B</vt:lpwstr>
  </property>
</Properties>
</file>